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bbw20260610_8k.htm"/>
      <w:bookmarkStart w:id="1" w:name="ksbbw2026061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Build-A-Bear Workshop,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195"/>
        <w:gridCol w:w="1160"/>
        <w:gridCol w:w="1640"/>
      </w:tblGrid>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001-32320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6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43-1883836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260"/>
        <w:gridCol w:w="1100"/>
      </w:tblGrid>
      <w:tr>
        <w:trPr/>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415 South 18th St., St. Louis, Missouri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63103</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88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(314) 423-8000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9765" w:type="dxa"/>
        <w:jc w:val="left"/>
        <w:tblInd w:w="0" w:type="dxa"/>
        <w:tblLayout w:type="fixed"/>
        <w:tblCellMar>
          <w:top w:w="0" w:type="dxa"/>
          <w:left w:w="0" w:type="dxa"/>
          <w:bottom w:w="0" w:type="dxa"/>
          <w:right w:w="0" w:type="dxa"/>
        </w:tblCellMar>
      </w:tblPr>
      <w:tblGrid>
        <w:gridCol w:w="4655"/>
        <w:gridCol w:w="1535"/>
        <w:gridCol w:w="3575"/>
      </w:tblGrid>
      <w:tr>
        <w:trPr/>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c>
        <w:tc>
          <w:tcPr>
            <w:tcW w:w="153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4655" w:type="dxa"/>
            <w:tcBorders>
              <w:bottom w:val="single" w:sz="2" w:space="0" w:color="000000"/>
            </w:tcBorders>
            <w:tcMar>
              <w:bottom w:w="28" w:type="dxa"/>
            </w:tcMar>
            <w:vAlign w:val="center"/>
          </w:tcPr>
          <w:p>
            <w:pPr>
              <w:pStyle w:val="TableContents"/>
              <w:bidi w:val="0"/>
              <w:spacing w:before="0" w:after="283"/>
              <w:jc w:val="left"/>
              <w:rPr/>
            </w:pPr>
            <w:r>
              <w:rPr/>
              <w:t> </w:t>
            </w:r>
          </w:p>
        </w:tc>
        <w:tc>
          <w:tcPr>
            <w:tcW w:w="1535" w:type="dxa"/>
            <w:tcBorders>
              <w:bottom w:val="single" w:sz="2" w:space="0" w:color="000000"/>
            </w:tcBorders>
            <w:tcMar>
              <w:bottom w:w="28" w:type="dxa"/>
            </w:tcMar>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465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53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BBW</w:t>
            </w:r>
          </w:p>
        </w:tc>
        <w:tc>
          <w:tcPr>
            <w:tcW w:w="357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5.07         </w:t>
      </w:r>
      <w:r>
        <w:rPr>
          <w:rFonts w:ascii="Times New Roman" w:hAnsi="Times New Roman"/>
          <w:caps w:val="false"/>
          <w:smallCaps w:val="false"/>
          <w:sz w:val="20"/>
          <w:u w:val="single"/>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Build-A-Bear Workshop, Inc. (the “Company”) held its 2026 Annual Meeting of Stockholders (the “Annual Meeting”) on June 11, 2026. The following proposals were submitted by the Company’s Board of Directors (the “Board”) to a vote of the Company’s stockholders and the final results of the voting on each proposal are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Proposal 1.Election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three directors were nominated to serve for three-year terms expiring at the 2029 Annual Meeting of Stockholders or until their successors are duly elected and qualified. The three directors, as indicated below, were elected as directors of the Company by the requisite affirmative vote of the majority of votes cast in person or by proxy.</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7" w:type="dxa"/>
        <w:tblLayout w:type="fixed"/>
        <w:tblCellMar>
          <w:top w:w="28" w:type="dxa"/>
          <w:left w:w="28" w:type="dxa"/>
          <w:bottom w:w="28" w:type="dxa"/>
          <w:right w:w="28" w:type="dxa"/>
        </w:tblCellMar>
      </w:tblPr>
      <w:tblGrid>
        <w:gridCol w:w="1475"/>
        <w:gridCol w:w="980"/>
        <w:gridCol w:w="800"/>
        <w:gridCol w:w="680"/>
        <w:gridCol w:w="1550"/>
      </w:tblGrid>
      <w:tr>
        <w:trPr/>
        <w:tc>
          <w:tcPr>
            <w:tcW w:w="14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b/>
              </w:rPr>
            </w:pPr>
            <w:r>
              <w:rPr>
                <w:b/>
              </w:rPr>
              <w:t>Nominee</w:t>
            </w:r>
          </w:p>
        </w:tc>
        <w:tc>
          <w:tcPr>
            <w:tcW w:w="9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80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4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James A Goldman</w:t>
            </w:r>
          </w:p>
        </w:tc>
        <w:tc>
          <w:tcPr>
            <w:tcW w:w="9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6,784,486</w:t>
            </w:r>
          </w:p>
        </w:tc>
        <w:tc>
          <w:tcPr>
            <w:tcW w:w="80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152,604</w:t>
            </w:r>
          </w:p>
        </w:tc>
        <w:tc>
          <w:tcPr>
            <w:tcW w:w="6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2,434</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2,606,429</w:t>
            </w:r>
          </w:p>
        </w:tc>
      </w:tr>
      <w:tr>
        <w:trPr/>
        <w:tc>
          <w:tcPr>
            <w:tcW w:w="14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Narayan Iyengar</w:t>
            </w:r>
          </w:p>
        </w:tc>
        <w:tc>
          <w:tcPr>
            <w:tcW w:w="9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6,651,914</w:t>
            </w:r>
          </w:p>
        </w:tc>
        <w:tc>
          <w:tcPr>
            <w:tcW w:w="80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282,083</w:t>
            </w:r>
          </w:p>
        </w:tc>
        <w:tc>
          <w:tcPr>
            <w:tcW w:w="6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5,527</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2,606,429</w:t>
            </w:r>
          </w:p>
        </w:tc>
      </w:tr>
      <w:tr>
        <w:trPr/>
        <w:tc>
          <w:tcPr>
            <w:tcW w:w="14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Lesli Rotenberg</w:t>
            </w:r>
          </w:p>
        </w:tc>
        <w:tc>
          <w:tcPr>
            <w:tcW w:w="9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6,415,344</w:t>
            </w:r>
          </w:p>
        </w:tc>
        <w:tc>
          <w:tcPr>
            <w:tcW w:w="80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474,236</w:t>
            </w:r>
          </w:p>
        </w:tc>
        <w:tc>
          <w:tcPr>
            <w:tcW w:w="6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49,944</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2,606,429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Proposal 2.Ratification of Appointment of Independent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stockholders were asked to ratify the appointment of Ernst &amp; Young LLP as the Company’s independent registered public accounting firm for the fiscal year ending January 30, 2027. The appointment was approved by the requisite affirmative vote of a majority of the shares represented in person or by proxy and entitled to vote, as indicated below.</w:t>
      </w:r>
    </w:p>
    <w:p>
      <w:pPr>
        <w:pStyle w:val="TextBody"/>
        <w:bidi w:val="0"/>
        <w:spacing w:before="0" w:after="0"/>
        <w:ind w:left="0" w:right="0" w:hanging="0"/>
        <w:jc w:val="left"/>
        <w:rPr>
          <w:caps w:val="false"/>
          <w:smallCaps w:val="false"/>
        </w:rPr>
      </w:pPr>
      <w:r>
        <w:rPr>
          <w:caps w:val="false"/>
          <w:smallCaps w:val="false"/>
        </w:rPr>
        <w:t> </w:t>
      </w:r>
    </w:p>
    <w:tbl>
      <w:tblPr>
        <w:tblW w:w="3875" w:type="dxa"/>
        <w:jc w:val="left"/>
        <w:tblInd w:w="-7" w:type="dxa"/>
        <w:tblLayout w:type="fixed"/>
        <w:tblCellMar>
          <w:top w:w="28" w:type="dxa"/>
          <w:left w:w="28" w:type="dxa"/>
          <w:bottom w:w="28" w:type="dxa"/>
          <w:right w:w="28" w:type="dxa"/>
        </w:tblCellMar>
      </w:tblPr>
      <w:tblGrid>
        <w:gridCol w:w="980"/>
        <w:gridCol w:w="680"/>
        <w:gridCol w:w="665"/>
        <w:gridCol w:w="1550"/>
      </w:tblGrid>
      <w:tr>
        <w:trPr/>
        <w:tc>
          <w:tcPr>
            <w:tcW w:w="9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t>9,477,929</w:t>
            </w:r>
          </w:p>
        </w:tc>
        <w:tc>
          <w:tcPr>
            <w:tcW w:w="6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59,501</w:t>
            </w:r>
          </w:p>
        </w:tc>
        <w:tc>
          <w:tcPr>
            <w:tcW w:w="6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8,523</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Proposal 3.Advisory Vote Approving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stockholders were asked to approve the executive compensation as disclosed in the Proxy Statement for the Annual Meeting pursuant to the compensation disclosure rules of the Securities and Exchange Commission. The proposal was approved by the requisite affirmative vote of a majority of the shares represented in person or by proxy and entitled to vote, as indicated below.</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7" w:type="dxa"/>
        <w:tblLayout w:type="fixed"/>
        <w:tblCellMar>
          <w:top w:w="28" w:type="dxa"/>
          <w:left w:w="28" w:type="dxa"/>
          <w:bottom w:w="28" w:type="dxa"/>
          <w:right w:w="28" w:type="dxa"/>
        </w:tblCellMar>
      </w:tblPr>
      <w:tblGrid>
        <w:gridCol w:w="980"/>
        <w:gridCol w:w="800"/>
        <w:gridCol w:w="800"/>
        <w:gridCol w:w="1550"/>
      </w:tblGrid>
      <w:tr>
        <w:trPr/>
        <w:tc>
          <w:tcPr>
            <w:tcW w:w="9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80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80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t>6,440,665</w:t>
            </w:r>
          </w:p>
        </w:tc>
        <w:tc>
          <w:tcPr>
            <w:tcW w:w="80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364,143</w:t>
            </w:r>
          </w:p>
        </w:tc>
        <w:tc>
          <w:tcPr>
            <w:tcW w:w="80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134,716</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2,606,429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Item 9.01 Financial Statements and 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325"/>
        <w:gridCol w:w="6470"/>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Number</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 of Exhibit</w:t>
            </w:r>
          </w:p>
        </w:tc>
      </w:tr>
      <w:tr>
        <w:trPr/>
        <w:tc>
          <w:tcPr>
            <w:tcW w:w="132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640"/>
        <w:gridCol w:w="365"/>
        <w:gridCol w:w="3215"/>
        <w:gridCol w:w="60"/>
      </w:tblGrid>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2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21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215"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12, 2026</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1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Yevgeny Fundler</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2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Yevgeny Fundler</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2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Legal Officer and Secretary</w:t>
            </w:r>
          </w:p>
        </w:tc>
        <w:tc>
          <w:tcPr>
            <w:tcW w:w="60"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677</Words>
  <Characters>3973</Characters>
  <CharactersWithSpaces>4613</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