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CURRENT REPORT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Pursuant to Section 13 or 15(d) of the Securities Exchange Act of 1934</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June 11, 2026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Build-A-Bear Workshop, Inc.</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445" w:right="339" w:bottom="1440" w:gutter="0" w:footer="0" w:header="0"/>
        </w:sectPr>
      </w:pPr>
    </w:p>
    <w:p>
      <w:pPr>
        <w:spacing w:after="0" w:line="207" w:lineRule="exact"/>
        <w:rPr>
          <w:sz w:val="24"/>
          <w:szCs w:val="24"/>
          <w:color w:val="auto"/>
        </w:rPr>
      </w:pPr>
    </w:p>
    <w:p>
      <w:pPr>
        <w:ind w:left="1800"/>
        <w:spacing w:after="0"/>
        <w:rPr>
          <w:sz w:val="20"/>
          <w:szCs w:val="20"/>
          <w:color w:val="auto"/>
        </w:rPr>
      </w:pPr>
      <w:r>
        <w:rPr>
          <w:rFonts w:ascii="Times New Roman" w:cs="Times New Roman" w:eastAsia="Times New Roman" w:hAnsi="Times New Roman"/>
          <w:sz w:val="18"/>
          <w:szCs w:val="18"/>
          <w:color w:val="auto"/>
        </w:rPr>
        <w:t>Delaware</w:t>
      </w:r>
    </w:p>
    <w:p>
      <w:pPr>
        <w:spacing w:after="0" w:line="27"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ind w:left="1180"/>
        <w:spacing w:after="0"/>
        <w:rPr>
          <w:sz w:val="20"/>
          <w:szCs w:val="20"/>
          <w:color w:val="auto"/>
        </w:rPr>
      </w:pPr>
      <w:r>
        <w:rPr>
          <w:rFonts w:ascii="Times New Roman" w:cs="Times New Roman" w:eastAsia="Times New Roman" w:hAnsi="Times New Roman"/>
          <w:sz w:val="17"/>
          <w:szCs w:val="17"/>
          <w:color w:val="auto"/>
        </w:rPr>
        <w:t>(State or Other Jurisdiction</w:t>
      </w:r>
    </w:p>
    <w:p>
      <w:pPr>
        <w:spacing w:after="0" w:line="21"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color w:val="auto"/>
        </w:rPr>
        <w:t>001-32320</w:t>
      </w:r>
    </w:p>
    <w:p>
      <w:pPr>
        <w:spacing w:after="0" w:line="27"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color w:val="auto"/>
        </w:rPr>
        <w:t>(Commission</w:t>
      </w:r>
    </w:p>
    <w:p>
      <w:pPr>
        <w:spacing w:after="0" w:line="9" w:lineRule="exact"/>
        <w:rPr>
          <w:sz w:val="24"/>
          <w:szCs w:val="24"/>
          <w:color w:val="auto"/>
        </w:rPr>
      </w:pPr>
    </w:p>
    <w:p>
      <w:pPr>
        <w:jc w:val="center"/>
        <w:ind w:right="13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43-1883836</w:t>
      </w:r>
    </w:p>
    <w:p>
      <w:pPr>
        <w:spacing w:after="0" w:line="27"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(IRS Employer</w:t>
      </w:r>
    </w:p>
    <w:p>
      <w:pPr>
        <w:spacing w:after="0" w:line="9"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8"/>
          <w:szCs w:val="18"/>
          <w:color w:val="auto"/>
        </w:rPr>
        <w:t>Identification No.)</w:t>
      </w:r>
    </w:p>
    <w:p>
      <w:pPr>
        <w:spacing w:after="0" w:line="200" w:lineRule="exact"/>
        <w:rPr>
          <w:sz w:val="24"/>
          <w:szCs w:val="24"/>
          <w:color w:val="auto"/>
        </w:rPr>
      </w:pPr>
    </w:p>
    <w:p>
      <w:pPr>
        <w:sectPr>
          <w:pgSz w:w="11900" w:h="16838" w:orient="portrait"/>
          <w:cols w:equalWidth="0" w:num="3">
            <w:col w:w="4340" w:space="720"/>
            <w:col w:w="2520" w:space="720"/>
            <w:col w:w="2940"/>
          </w:cols>
          <w:pgMar w:left="320" w:top="445" w:right="339" w:bottom="1440" w:gutter="0" w:footer="0" w:header="0"/>
          <w:type w:val="continuous"/>
        </w:sectPr>
      </w:pPr>
    </w:p>
    <w:p>
      <w:pPr>
        <w:spacing w:after="0" w:line="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415 South 18th St., St. Louis, Missouri</w:t>
      </w:r>
    </w:p>
    <w:p>
      <w:pPr>
        <w:spacing w:after="0" w:line="27"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Times New Roman" w:cs="Times New Roman" w:eastAsia="Times New Roman" w:hAnsi="Times New Roman"/>
          <w:sz w:val="18"/>
          <w:szCs w:val="18"/>
          <w:color w:val="auto"/>
        </w:rPr>
        <w:t>63103</w:t>
      </w:r>
    </w:p>
    <w:p>
      <w:pPr>
        <w:spacing w:after="0" w:line="27"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ind w:right="920"/>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8520" w:space="720"/>
            <w:col w:w="2000"/>
          </w:cols>
          <w:pgMar w:left="320" w:top="445" w:right="33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(314) 423-8000</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445" w:right="339" w:bottom="1440" w:gutter="0" w:footer="0" w:header="0"/>
          <w:type w:val="continuous"/>
        </w:sectPr>
      </w:pPr>
    </w:p>
    <w:p>
      <w:pPr>
        <w:spacing w:after="0" w:line="218" w:lineRule="exact"/>
        <w:rPr>
          <w:sz w:val="24"/>
          <w:szCs w:val="24"/>
          <w:color w:val="auto"/>
        </w:rPr>
      </w:pPr>
    </w:p>
    <w:p>
      <w:pPr>
        <w:ind w:firstLine="162"/>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9"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500" w:type="dxa"/>
            <w:vAlign w:val="bottom"/>
            <w:tcBorders>
              <w:top w:val="single" w:sz="8" w:color="auto"/>
              <w:left w:val="single" w:sz="8" w:color="auto"/>
              <w:bottom w:val="single" w:sz="8" w:color="auto"/>
              <w:right w:val="single" w:sz="8" w:color="auto"/>
            </w:tcBorders>
          </w:tcPr>
          <w:p>
            <w:pPr>
              <w:ind w:left="1600"/>
              <w:spacing w:after="0"/>
              <w:rPr>
                <w:sz w:val="20"/>
                <w:szCs w:val="20"/>
                <w:color w:val="auto"/>
              </w:rPr>
            </w:pPr>
            <w:r>
              <w:rPr>
                <w:rFonts w:ascii="Times New Roman" w:cs="Times New Roman" w:eastAsia="Times New Roman" w:hAnsi="Times New Roman"/>
                <w:sz w:val="18"/>
                <w:szCs w:val="18"/>
                <w:color w:val="auto"/>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4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3"/>
        </w:trPr>
        <w:tc>
          <w:tcPr>
            <w:tcW w:w="4500" w:type="dxa"/>
            <w:vAlign w:val="bottom"/>
            <w:tcBorders>
              <w:bottom w:val="single" w:sz="8" w:color="auto"/>
              <w:right w:val="single" w:sz="8" w:color="auto"/>
            </w:tcBorders>
          </w:tcPr>
          <w:p>
            <w:pPr>
              <w:ind w:left="20"/>
              <w:spacing w:after="0" w:line="193" w:lineRule="exact"/>
              <w:rPr>
                <w:sz w:val="20"/>
                <w:szCs w:val="20"/>
                <w:color w:val="auto"/>
              </w:rPr>
            </w:pPr>
            <w:r>
              <w:rPr>
                <w:rFonts w:ascii="Times New Roman" w:cs="Times New Roman" w:eastAsia="Times New Roman" w:hAnsi="Times New Roman"/>
                <w:sz w:val="18"/>
                <w:szCs w:val="18"/>
                <w:color w:val="auto"/>
              </w:rPr>
              <w:t>Common Stock, par value $0.01 per share</w:t>
            </w:r>
          </w:p>
        </w:tc>
        <w:tc>
          <w:tcPr>
            <w:tcW w:w="22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rPr>
              <w:t>BBW</w:t>
            </w:r>
          </w:p>
        </w:tc>
        <w:tc>
          <w:tcPr>
            <w:tcW w:w="446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New York Stock Exchange</w:t>
            </w:r>
          </w:p>
        </w:tc>
      </w:tr>
    </w:tbl>
    <w:p>
      <w:pPr>
        <w:spacing w:after="0" w:line="200" w:lineRule="exact"/>
        <w:rPr>
          <w:sz w:val="24"/>
          <w:szCs w:val="24"/>
          <w:color w:val="auto"/>
        </w:rPr>
      </w:pPr>
    </w:p>
    <w:p>
      <w:pPr>
        <w:spacing w:after="0" w:line="21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type w:val="continuous"/>
        </w:sectPr>
      </w:pPr>
    </w:p>
    <w:bookmarkStart w:id="1" w:name="page2"/>
    <w:bookmarkEnd w:id="1"/>
    <w:p>
      <w:pPr>
        <w:jc w:val="both"/>
        <w:spacing w:after="0" w:line="282" w:lineRule="auto"/>
        <w:rPr>
          <w:sz w:val="20"/>
          <w:szCs w:val="20"/>
          <w:color w:val="auto"/>
        </w:rPr>
      </w:pPr>
      <w:r>
        <w:rPr>
          <w:rFonts w:ascii="Times New Roman" w:cs="Times New Roman" w:eastAsia="Times New Roman" w:hAnsi="Times New Roman"/>
          <w:sz w:val="18"/>
          <w:szCs w:val="18"/>
          <w:u w:val="single" w:color="auto"/>
          <w:color w:val="auto"/>
        </w:rPr>
        <w:t>Item 5.02. Departure of Directors or Certain Officers; Election of Directors; Appointment of Certain Officers; Compensatory Arrangements of Certain Officers.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12, 2026, Build-A-Bear Workshop, Inc. (the “Company”) announced that the Company had promoted Voin Todorovic, to the additional role of Chief Administrative Officer effective as of June 11, 2026 (the “Promotion Effective Date”), while he will continue to serve as Chief Financial Officer of the Company.</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promotion to serve as both Chief Financial Officer and Chief Administrative Officer, Mr. Todorovic, age 51, had served as our Chief Financial Officer since joining the Company in September 2014. Prior to joining the Company, Mr. Todorovic was employed at Wolverine World Wide, Inc., a leading global footwear and apparel company, where since September 2013 he had served as the head of finance and operations for its Lifestyle Group, which includes a portfolio of iconic brands such as Sperry Top-Sider®, Hush Puppies®, Keds®, and Stride Rite®. From 2011 to 2013 Mr. Todorovic was Vice President—Finance and Administration of the Stride Rite Children’s Group business, operating in wholesale, direct to consumer and international franchising, and from 2010 to 2011 Mr. Todorovic was Vice President of the Performance + Lifestyle Group. Prior to his tenure at Wolverine World Wide he held positions of increasing responsibility at Collective Brands, Inc. and Payless ShoeSource.</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11, 2026, the Company entered into a Second Amended and Restated Employment Agreement with Mr. Todorovic (the “Amended Employment Agreement”) to reflect (i) his promotion to both Chief Financial Officer and Chief Administrative Officer and (ii) his current compensation arrangements with the Company, including an annual base salary of not less than $500,000 and an annual target bonus opportunity in any fiscal year to not less than 70% of his earned annual base pay for such fiscal year. Except as described herein, the material terms of Mr. Todorovic’s prior employment agreement remain unchanged. The description of Mr. Todorovic’s prior employment agreement under the heading “Executive Employment and Severance Agreements— Executive Employment Agreements” in the Company’s proxy statement, dated April 30, 2026 is hereby incorporated by reference herein.</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summary of the Amended Employment Agreement is a summary of its material terms, does not purport to be complete, and is qualified in its entirety by reference to the Amended Employment Agreement, a copy of which is being filed as Exhibit 10.1 to this Current Report on Form 8-K and is incorporated herein by reference.</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June 12, 2026, the Company issued a press release announcing Mr. Todorovic’s promotion. A copy of this press release is filed as Exhibit 99.1 to this Current Report on Form 8-K and incorporated herein by reference.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Item 9.01 Financial Statements and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w:t>
            </w:r>
          </w:p>
        </w:tc>
        <w:tc>
          <w:tcPr>
            <w:tcW w:w="3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w w:val="94"/>
              </w:rPr>
              <w:t>Number</w:t>
            </w:r>
          </w:p>
        </w:tc>
        <w:tc>
          <w:tcPr>
            <w:tcW w:w="320" w:type="dxa"/>
            <w:vAlign w:val="bottom"/>
          </w:tcPr>
          <w:p>
            <w:pPr>
              <w:spacing w:after="0"/>
              <w:rPr>
                <w:sz w:val="17"/>
                <w:szCs w:val="17"/>
                <w:color w:val="auto"/>
              </w:rPr>
            </w:pPr>
          </w:p>
        </w:tc>
        <w:tc>
          <w:tcPr>
            <w:tcW w:w="10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60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12"/>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20" w:type="dxa"/>
            <w:vAlign w:val="bottom"/>
          </w:tcPr>
          <w:p>
            <w:pPr>
              <w:spacing w:after="0"/>
              <w:rPr>
                <w:sz w:val="24"/>
                <w:szCs w:val="24"/>
                <w:color w:val="auto"/>
              </w:rPr>
            </w:pPr>
          </w:p>
        </w:tc>
        <w:tc>
          <w:tcPr>
            <w:tcW w:w="1032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Second Amended and Restated Employment, Confidentiality and Noncompete Agreement, effective as of June 11, 2026 by and between Voin</w:t>
            </w:r>
          </w:p>
        </w:tc>
      </w:tr>
      <w:tr>
        <w:trPr>
          <w:trHeight w:val="196"/>
        </w:trPr>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8"/>
              </w:rPr>
              <w:t>Todorovic and Build-A-Bear Workshop, Inc.</w:t>
            </w:r>
          </w:p>
        </w:tc>
        <w:tc>
          <w:tcPr>
            <w:tcW w:w="6980" w:type="dxa"/>
            <w:vAlign w:val="bottom"/>
            <w:tcBorders>
              <w:top w:val="single" w:sz="8" w:color="0000EE"/>
            </w:tcBorders>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6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17"/>
                <w:szCs w:val="17"/>
                <w:color w:val="auto"/>
              </w:rPr>
            </w:pPr>
          </w:p>
        </w:tc>
        <w:tc>
          <w:tcPr>
            <w:tcW w:w="1032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Press Release dated June 12, 2026</w:t>
            </w:r>
          </w:p>
        </w:tc>
      </w:tr>
      <w:tr>
        <w:trPr>
          <w:trHeight w:val="20"/>
        </w:trPr>
        <w:tc>
          <w:tcPr>
            <w:tcW w:w="6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7860" w:type="dxa"/>
            <w:vAlign w:val="bottom"/>
            <w:gridSpan w:val="3"/>
          </w:tcPr>
          <w:p>
            <w:pPr>
              <w:spacing w:after="0" w:line="20" w:lineRule="exact"/>
              <w:rPr>
                <w:sz w:val="1"/>
                <w:szCs w:val="1"/>
                <w:color w:val="auto"/>
              </w:rPr>
            </w:pPr>
          </w:p>
        </w:tc>
      </w:tr>
      <w:tr>
        <w:trPr>
          <w:trHeight w:val="236"/>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20" w:type="dxa"/>
            <w:vAlign w:val="bottom"/>
          </w:tcPr>
          <w:p>
            <w:pPr>
              <w:spacing w:after="0"/>
              <w:rPr>
                <w:sz w:val="20"/>
                <w:szCs w:val="20"/>
                <w:color w:val="auto"/>
              </w:rPr>
            </w:pPr>
          </w:p>
        </w:tc>
        <w:tc>
          <w:tcPr>
            <w:tcW w:w="1032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74"/>
        </w:trPr>
        <w:tc>
          <w:tcPr>
            <w:tcW w:w="6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20"/>
                <w:szCs w:val="20"/>
                <w:color w:val="auto"/>
              </w:rPr>
            </w:pPr>
            <w:r>
              <w:rPr>
                <w:rFonts w:ascii="Times New Roman" w:cs="Times New Roman" w:eastAsia="Times New Roman" w:hAnsi="Times New Roman"/>
                <w:sz w:val="18"/>
                <w:szCs w:val="18"/>
                <w:color w:val="auto"/>
              </w:rPr>
              <w:t>Date: June 12, 2026</w:t>
            </w:r>
          </w:p>
        </w:tc>
        <w:tc>
          <w:tcPr>
            <w:tcW w:w="720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BUILD-A-BEAR WORKSHOP, INC.</w:t>
            </w:r>
          </w:p>
        </w:tc>
      </w:tr>
      <w:tr>
        <w:trPr>
          <w:trHeight w:val="234"/>
        </w:trPr>
        <w:tc>
          <w:tcPr>
            <w:tcW w:w="3380" w:type="dxa"/>
            <w:vAlign w:val="bottom"/>
          </w:tcPr>
          <w:p>
            <w:pPr>
              <w:spacing w:after="0"/>
              <w:rPr>
                <w:sz w:val="20"/>
                <w:szCs w:val="20"/>
                <w:color w:val="auto"/>
              </w:rPr>
            </w:pPr>
          </w:p>
        </w:tc>
        <w:tc>
          <w:tcPr>
            <w:tcW w:w="7200" w:type="dxa"/>
            <w:vAlign w:val="bottom"/>
            <w:gridSpan w:val="3"/>
          </w:tcPr>
          <w:p>
            <w:pPr>
              <w:ind w:left="1920"/>
              <w:spacing w:after="0"/>
              <w:rPr>
                <w:sz w:val="20"/>
                <w:szCs w:val="20"/>
                <w:color w:val="auto"/>
              </w:rPr>
            </w:pPr>
            <w:r>
              <w:rPr>
                <w:rFonts w:ascii="Times New Roman" w:cs="Times New Roman" w:eastAsia="Times New Roman" w:hAnsi="Times New Roman"/>
                <w:sz w:val="18"/>
                <w:szCs w:val="18"/>
                <w:color w:val="auto"/>
              </w:rPr>
              <w:t>By: /s/ Yevgeny Fundler</w:t>
            </w:r>
          </w:p>
        </w:tc>
      </w:tr>
      <w:tr>
        <w:trPr>
          <w:trHeight w:val="20"/>
        </w:trPr>
        <w:tc>
          <w:tcPr>
            <w:tcW w:w="3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700" w:type="dxa"/>
            <w:vAlign w:val="bottom"/>
            <w:shd w:val="clear" w:color="auto" w:fill="000000"/>
          </w:tcPr>
          <w:p>
            <w:pPr>
              <w:spacing w:after="0" w:line="20" w:lineRule="exact"/>
              <w:rPr>
                <w:sz w:val="1"/>
                <w:szCs w:val="1"/>
                <w:color w:val="auto"/>
              </w:rPr>
            </w:pPr>
          </w:p>
        </w:tc>
      </w:tr>
      <w:tr>
        <w:trPr>
          <w:trHeight w:val="191"/>
        </w:trPr>
        <w:tc>
          <w:tcPr>
            <w:tcW w:w="3380" w:type="dxa"/>
            <w:vAlign w:val="bottom"/>
          </w:tcPr>
          <w:p>
            <w:pPr>
              <w:spacing w:after="0"/>
              <w:rPr>
                <w:sz w:val="16"/>
                <w:szCs w:val="16"/>
                <w:color w:val="auto"/>
              </w:rPr>
            </w:pPr>
          </w:p>
        </w:tc>
        <w:tc>
          <w:tcPr>
            <w:tcW w:w="2500" w:type="dxa"/>
            <w:vAlign w:val="bottom"/>
            <w:gridSpan w:val="2"/>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7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Yevgeny Fundler</w:t>
            </w:r>
          </w:p>
        </w:tc>
      </w:tr>
      <w:tr>
        <w:trPr>
          <w:trHeight w:val="234"/>
        </w:trPr>
        <w:tc>
          <w:tcPr>
            <w:tcW w:w="3380" w:type="dxa"/>
            <w:vAlign w:val="bottom"/>
          </w:tcPr>
          <w:p>
            <w:pPr>
              <w:spacing w:after="0"/>
              <w:rPr>
                <w:sz w:val="20"/>
                <w:szCs w:val="20"/>
                <w:color w:val="auto"/>
              </w:rPr>
            </w:pPr>
          </w:p>
        </w:tc>
        <w:tc>
          <w:tcPr>
            <w:tcW w:w="2500" w:type="dxa"/>
            <w:vAlign w:val="bottom"/>
            <w:gridSpan w:val="2"/>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ectPr>
          <w:pgSz w:w="11900" w:h="16838" w:orient="portrait"/>
          <w:cols w:equalWidth="0" w:num="1">
            <w:col w:w="10920"/>
          </w:cols>
          <w:pgMar w:left="320" w:top="580" w:right="6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SECOND 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EMPLOYMENT, CONFIDENTIALITY AND NONCOMPETE AGREEMENT</w:t>
      </w:r>
    </w:p>
    <w:p>
      <w:pPr>
        <w:spacing w:after="0" w:line="2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Build-A-Bear Workshop, Inc., a Delaware corporation (“Company”), and Voin Todorovic (“Employee”) entered into an Amended and Restated Employment, Confidentiality and Noncompete Agreement effective as of March 7, 2016 (the “Prior Agreement”). This Second Amended and Restated Employment, Confidentiality and Noncompete Agreement (this “Agreement”) is entered into effective as of June 11, 2026 (the “Effective Date”) by and between Company and Employee and completely amends and supersedes the Prior Agreement.</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Company and Employee entered into the Prior Agreement, pursuant to which, among other things, Company agreed to employ Employee as its Chief Financial Officer;</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Company has now decided to promote Employee to the additional position of Chief Administrative Officer, and Company and Employee have agreed to amend and restate the Prior Agreement to reflect such promotion, to be effective on the Effective Date, and to reflect Employee’s continuing service as Chief Financial Officer, consistent with the Prior Agreement.</w:t>
      </w:r>
    </w:p>
    <w:p>
      <w:pPr>
        <w:spacing w:after="0" w:line="176"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WHEREAS, Company has pioneered the retail concept of “make your own” stuffed plush toys, including animals and dolls, and is engaged in, among other things, the business of production, marketing, promotion and distribution of plush stuffed toys, clothing, accessories and similar items, including without limitation, the ownership, management, franchising, leasing and development of retail stores in which the basic operation is the selling of such items, and the promotion of the related concepts and characters through merchandising and mass media. Company is headquartered and its principal place of business is located in, and this Agreement is being signed in, St. Louis, Missouri.</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Company conducts business in selected locations throughout the United States and internationally directly and through franchise arrangements.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Company has expended a great deal of time, money and effort to develop and maintain its proprietary Confidential Information (as defined herein) which is material to Company and which, if misused or disclosed, could be very harmful to Company’s business.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the success of Company depends to a substantial extent upon the protection of its Confidential Information and goodwill by all of its employees.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WHEREAS, Company compensates its employees to, among other things, develop and preserve goodwill with its customers, landlords, suppliers and partners on Company’s behalf and business information for Company’s ownership and use.</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WHEREAS, if Employee were to leave Company, Company, in all fairness, would need certain protections in order to prevent competitors of Company from gaining an unfair competitive advantage over Company or diverting goodwill from Company, or to prevent Employee from misusing or misappropriating the Confidential Information.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compensation and other benefits of Employee’s employment by Company and the recitals, mutual covenants and agreements hereinafter set forth, Employee and Company agree as follows:</w:t>
      </w:r>
    </w:p>
    <w:p>
      <w:pPr>
        <w:spacing w:after="0" w:line="162" w:lineRule="exact"/>
        <w:rPr>
          <w:sz w:val="20"/>
          <w:szCs w:val="20"/>
          <w:color w:val="auto"/>
        </w:rPr>
      </w:pPr>
    </w:p>
    <w:p>
      <w:pPr>
        <w:ind w:left="1740" w:hanging="184"/>
        <w:spacing w:after="0"/>
        <w:tabs>
          <w:tab w:leader="none" w:pos="17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Employment Services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718"/>
        <w:spacing w:after="0" w:line="258" w:lineRule="auto"/>
        <w:tabs>
          <w:tab w:leader="none" w:pos="199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Effective Date, Employee shall continue to be employed by Company, and Employee accepts such continued employment, upon the terms and conditions hereinafter set forth. Employee shall serve as Chief Financial Officer and, as of the Promotion Effective Date, Chief Administrative Officer, and agrees to do so on a full-time basis. Employee shall carry out such duties as are customarily associated with such positions and that are assigned to him by Company’s Chief Executive Officer, which shall include, without limitation, as to the position of Chief Administrative Officer, managing the Company’s real estate, information technology, sourcing, and merchandise planning functions.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jc w:val="both"/>
        <w:ind w:left="-1120" w:firstLine="1718"/>
        <w:spacing w:after="0" w:line="261" w:lineRule="auto"/>
        <w:tabs>
          <w:tab w:leader="none" w:pos="855"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that throughout Employee’s employment with Company, Employee will (i) faithfully render such services as may be delegated reasonably to Employee by Company, (ii) devote substantially all of Employee’s entire business time, good faith, best efforts, ability, skill and attention to Company’s business, and (iii) follow and act in accordance with all of the rules, policies and procedures of Company which are applicable to its senior executives, including but not limited to working hours, sales and promotion policies, and specific Company rules.</w:t>
      </w:r>
    </w:p>
    <w:p>
      <w:pPr>
        <w:spacing w:after="0" w:line="179" w:lineRule="exact"/>
        <w:rPr>
          <w:rFonts w:ascii="Times New Roman" w:cs="Times New Roman" w:eastAsia="Times New Roman" w:hAnsi="Times New Roman"/>
          <w:sz w:val="18"/>
          <w:szCs w:val="18"/>
          <w:color w:val="auto"/>
        </w:rPr>
      </w:pPr>
    </w:p>
    <w:p>
      <w:pPr>
        <w:jc w:val="both"/>
        <w:ind w:left="-1120" w:firstLine="1718"/>
        <w:spacing w:after="0" w:line="266" w:lineRule="auto"/>
        <w:tabs>
          <w:tab w:leader="none" w:pos="839"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Build-A-Bear Workshop, Inc. or one of its Subsidiaries. The term “Subsidiary” means any corporation, joint venture or other business organization in which Build-A-Bear Workshop, Inc. now or hereafter, directly or indirectly, owns or controls more than fifty percent (50%) interest.</w:t>
      </w:r>
    </w:p>
    <w:p>
      <w:pPr>
        <w:spacing w:after="0" w:line="175" w:lineRule="exact"/>
        <w:rPr>
          <w:rFonts w:ascii="Times New Roman" w:cs="Times New Roman" w:eastAsia="Times New Roman" w:hAnsi="Times New Roman"/>
          <w:sz w:val="18"/>
          <w:szCs w:val="18"/>
          <w:color w:val="auto"/>
        </w:rPr>
      </w:pPr>
    </w:p>
    <w:p>
      <w:pPr>
        <w:jc w:val="both"/>
        <w:ind w:left="-1120" w:firstLine="1304"/>
        <w:spacing w:after="0" w:line="255" w:lineRule="auto"/>
        <w:tabs>
          <w:tab w:leader="none" w:pos="369"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Employment</w:t>
      </w:r>
      <w:r>
        <w:rPr>
          <w:rFonts w:ascii="Times New Roman" w:cs="Times New Roman" w:eastAsia="Times New Roman" w:hAnsi="Times New Roman"/>
          <w:sz w:val="18"/>
          <w:szCs w:val="18"/>
          <w:color w:val="auto"/>
        </w:rPr>
        <w:t>. The term of this Agreement shall commence on the Effective Date first set forth above, and shall end on the third anniversary of the Effective Date, unless sooner terminated as provided in Section 4 hereof (the “Renewal Term”). Following the Renewal Term, this Agreement shall renew for successive one-year periods (each a “Renewal Period”; collectively, the Renewal Term and each Renewal Period, the “Employment Period”), unless either party notifies the other party of its decision not to renew the Agreement at least sixty (60) days prior to the third anniversary of the Effective Date or the expiration of any Renewal Period, or unless the Agreement is sooner terminated as provided in Section 4 hereof. For the avoidance of doubt, if either party provides notice of non-renewal of the Agreement at least sixty (60) days prior to the end of the Renewal Term or the end of any Renewal Period, then the Agreement shall expire.</w:t>
      </w:r>
    </w:p>
    <w:p>
      <w:pPr>
        <w:spacing w:after="0" w:line="188"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1718"/>
        <w:spacing w:after="0" w:line="258" w:lineRule="auto"/>
        <w:tabs>
          <w:tab w:leader="none" w:pos="848"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Throughout the Employment Period, Company shall pay Employee as compensation for his services an annual base salary of not less than Five Hundred Thousand Dollars ($500,000), payable in accordance with Company’s usual practices. Employee’s annual base salary rate shall be reviewed by the Compensation Committee of the Board of Directors (the “Compensation Committee”) at least annually and may be subject to adjustment following each fiscal year so that Employee’s salary will be commensurate with similarly situated executives with firms similarly situated to Company. However, Employee’s annual base salary rate shall not be subject to decrease at any time during the Employment Period.</w:t>
      </w:r>
    </w:p>
    <w:p>
      <w:pPr>
        <w:spacing w:after="0" w:line="183" w:lineRule="exact"/>
        <w:rPr>
          <w:rFonts w:ascii="Times New Roman" w:cs="Times New Roman" w:eastAsia="Times New Roman" w:hAnsi="Times New Roman"/>
          <w:sz w:val="18"/>
          <w:szCs w:val="18"/>
          <w:color w:val="auto"/>
        </w:rPr>
      </w:pPr>
    </w:p>
    <w:p>
      <w:pPr>
        <w:jc w:val="both"/>
        <w:ind w:left="-1120" w:firstLine="1718"/>
        <w:spacing w:after="0" w:line="252" w:lineRule="auto"/>
        <w:tabs>
          <w:tab w:leader="none" w:pos="844"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Should Company meet or exceed the sales, profits and other objectives established by the Compensation Committee for any fiscal year, Employee shall be eligible to receive a bonus for such fiscal year in the amount as determined by the Compensation Committee; provided however, the target bonus opportunity established for Employee in any given fiscal year will be set by the Compensation Committee at not less than seventy percent (70%) of Employee’s earned annual base pay for such fiscal year. Any bonus payable to Employee will be payable in cash, stock or stock options, or combination thereof, all as determined by the Board of Directors or any duly authorized committee thereof, and unless (to the extent consistent with Section 409A of the Code (as defined below)) a different payout schedule is applicable for all executive employees of Company, any such bonus payment will be payable in a single, lump sum payment in the calendar year that contains the April 30th immediately following such fiscal year, but no later than April 30th of such following year. In the event of termination of this Agreement because of Employee’s death or disability (as defined by Section 4.1(b)), termination by Company without Cause pursuant to Section 4.1(c), or pursuant to Employee’s right to terminate this Agreement for Good Reason under Section 4.1(d), (1) any bonus for the fiscal year preceding the fiscal year in which such termination occurs shall be paid at the time and in the form such bonus would have been paid had Employee’s employment continued until the payment date, and (2) the bonus for the fiscal year in which such termination occurs shall be pro-rated based on the number of full calendar weeks during the applicable fiscal year during which Employee was employed hereunder, based on the bonus amount that Employee would have earned based on actual performance for the fiscal year had Employee’s employment not terminated, and shall be paid at the time and in the form such bonus would have been paid had Employee’s employment continued; provided, however, in the event of termination of this Agreement because of Employee’s termination by Company without Cause pursuant to Section 4.1(c) or pursuant to Employee’s right to terminate this Agreement for Good Reason under Section 4.1(d) and such termination is on the date of a Change in Control or during a period of twenty-four (24) months after a Change in Control, Employee’s target bonus for the fiscal year in which such termination occurs shall be prorated based on the number of full calendar weeks during the applicable fiscal year during which Employee was employed hereunder and shall be paid within thirty (30) days of such termination (subject to any delay in payout required under Section 4.2(b)). Notwithstanding anything herein to the contrary, no bonus shall be payable hereunder in the event that Employee’s employment terminates for any other reason prior to the date on which any bonus is actually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353695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5" w:name="page6"/>
    <w:bookmarkEnd w:id="5"/>
    <w:p>
      <w:pPr>
        <w:jc w:val="both"/>
        <w:ind w:firstLine="1710"/>
        <w:spacing w:after="0" w:line="266" w:lineRule="auto"/>
        <w:rPr>
          <w:sz w:val="20"/>
          <w:szCs w:val="20"/>
          <w:color w:val="auto"/>
        </w:rPr>
      </w:pPr>
      <w:r>
        <w:rPr>
          <w:rFonts w:ascii="Times New Roman" w:cs="Times New Roman" w:eastAsia="Times New Roman" w:hAnsi="Times New Roman"/>
          <w:sz w:val="18"/>
          <w:szCs w:val="18"/>
          <w:color w:val="auto"/>
        </w:rPr>
        <w:t>Such bonus, if any, shall be payable after Company’s accountants have determined the sales and profits and have issued their audit report with respect thereto for the applicable fiscal year, which determination shall be binding on the parties. Any such bonus shall be paid in the calendar year that contains the April 30 immediately following such fiscal year, but no later than April 30th of such year.</w:t>
      </w:r>
    </w:p>
    <w:p>
      <w:pPr>
        <w:spacing w:after="0" w:line="176" w:lineRule="exact"/>
        <w:rPr>
          <w:sz w:val="20"/>
          <w:szCs w:val="20"/>
          <w:color w:val="auto"/>
        </w:rPr>
      </w:pPr>
    </w:p>
    <w:p>
      <w:pPr>
        <w:jc w:val="both"/>
        <w:ind w:firstLine="1718"/>
        <w:spacing w:after="0" w:line="258" w:lineRule="auto"/>
        <w:tabs>
          <w:tab w:leader="none" w:pos="195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Employee may have been granted in the past, and may in the future be granted, a certain number of restricted shares and/or stock options to purchase shares of Company’s common stock (the “Common Stock”) and/or other awards, pursuant to the terms set forth more particularly in the stock option and/or restricted stock and/or other award agreements (“Stock Agreement”) used in connection with the Build-A-Bear Workshop, Inc. Amended and Restated 2020 Omnibus Incentive Plan (or any successor plan) (the “Plan”). The Plan and applicable Stock Agreement(s) shall govern any grants of restricted shares and/or stock options to purchase shares of Company’s Common Stock and/or such other awards.</w:t>
      </w:r>
    </w:p>
    <w:p>
      <w:pPr>
        <w:spacing w:after="0" w:line="183" w:lineRule="exact"/>
        <w:rPr>
          <w:rFonts w:ascii="Times New Roman" w:cs="Times New Roman" w:eastAsia="Times New Roman" w:hAnsi="Times New Roman"/>
          <w:sz w:val="18"/>
          <w:szCs w:val="18"/>
          <w:color w:val="auto"/>
        </w:rPr>
      </w:pPr>
    </w:p>
    <w:p>
      <w:pPr>
        <w:ind w:left="1980" w:hanging="262"/>
        <w:spacing w:after="0"/>
        <w:tabs>
          <w:tab w:leader="none" w:pos="19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Discounts</w:t>
      </w:r>
      <w:r>
        <w:rPr>
          <w:rFonts w:ascii="Times New Roman" w:cs="Times New Roman" w:eastAsia="Times New Roman" w:hAnsi="Times New Roman"/>
          <w:sz w:val="18"/>
          <w:szCs w:val="18"/>
          <w:color w:val="auto"/>
        </w:rPr>
        <w:t>. Employee and his immediate family will be entitled to a minimum 20% discount for all merchandise purchased at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stores.</w:t>
      </w:r>
    </w:p>
    <w:p>
      <w:pPr>
        <w:spacing w:after="0" w:line="206" w:lineRule="exact"/>
        <w:rPr>
          <w:rFonts w:ascii="Times New Roman" w:cs="Times New Roman" w:eastAsia="Times New Roman" w:hAnsi="Times New Roman"/>
          <w:sz w:val="18"/>
          <w:szCs w:val="18"/>
          <w:color w:val="auto"/>
        </w:rPr>
      </w:pPr>
    </w:p>
    <w:p>
      <w:pPr>
        <w:jc w:val="both"/>
        <w:ind w:firstLine="1718"/>
        <w:spacing w:after="0" w:line="258" w:lineRule="auto"/>
        <w:tabs>
          <w:tab w:leader="none" w:pos="1954"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Vacation</w:t>
      </w:r>
      <w:r>
        <w:rPr>
          <w:rFonts w:ascii="Times New Roman" w:cs="Times New Roman" w:eastAsia="Times New Roman" w:hAnsi="Times New Roman"/>
          <w:sz w:val="18"/>
          <w:szCs w:val="18"/>
          <w:color w:val="auto"/>
        </w:rPr>
        <w:t>. Employee shall be entitled to paid vacation and paid sick leave on the same basis as may from time to time apply to other Company executive employees generally. Vacations will be scheduled with the approval of Company’s Chief Executive Officer. One-third of one year’s vacation (or any part of it) may be carried over to the next year; provided that such carry over is used in the first calendar quarter of the next year. Unless otherwise approved by Company’s Chief Executive Officer, all unused vacation shall be forfeited. No more than two weeks of vacation can be taken at one time. Employee shall also be entitled to one (1) additional day per calendar year of paid vacation to be taken in the month of his birthday.</w:t>
      </w:r>
    </w:p>
    <w:p>
      <w:pPr>
        <w:spacing w:after="0" w:line="183" w:lineRule="exact"/>
        <w:rPr>
          <w:rFonts w:ascii="Times New Roman" w:cs="Times New Roman" w:eastAsia="Times New Roman" w:hAnsi="Times New Roman"/>
          <w:sz w:val="18"/>
          <w:szCs w:val="18"/>
          <w:color w:val="auto"/>
        </w:rPr>
      </w:pPr>
    </w:p>
    <w:p>
      <w:pPr>
        <w:jc w:val="both"/>
        <w:ind w:firstLine="1718"/>
        <w:spacing w:after="0" w:line="258" w:lineRule="auto"/>
        <w:tabs>
          <w:tab w:leader="none" w:pos="1948"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 Employee shall be eligible for such other perquisites as may from time to time be awarded to Employee by Company payable at such times and in such amounts as Company, in its sole discretion, may determine. All compensation under this Agreement shall be subject to customary withholding taxes and other employment taxes as required with respect thereto. Throughout the Employment Period, Employee shall also qualify for all rights and benefits for which Employee may be eligible under any benefit plans including group life, medical, health, dental and/or disability insurance or other benefits (“Welfare Benefits”) which are provided for employees generally at his then current location of employment.</w:t>
      </w:r>
    </w:p>
    <w:p>
      <w:pPr>
        <w:spacing w:after="0" w:line="183" w:lineRule="exact"/>
        <w:rPr>
          <w:rFonts w:ascii="Times New Roman" w:cs="Times New Roman" w:eastAsia="Times New Roman" w:hAnsi="Times New Roman"/>
          <w:sz w:val="18"/>
          <w:szCs w:val="18"/>
          <w:color w:val="auto"/>
        </w:rPr>
      </w:pPr>
    </w:p>
    <w:p>
      <w:pPr>
        <w:ind w:left="1740" w:hanging="184"/>
        <w:spacing w:after="0"/>
        <w:tabs>
          <w:tab w:leader="none" w:pos="17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Termination of Employment</w:t>
      </w:r>
      <w:r>
        <w:rPr>
          <w:rFonts w:ascii="Times New Roman" w:cs="Times New Roman" w:eastAsia="Times New Roman" w:hAnsi="Times New Roman"/>
          <w:sz w:val="18"/>
          <w:szCs w:val="18"/>
          <w:color w:val="auto"/>
        </w:rPr>
        <w:t>. Prior to the expiration of the Employment Period, this Agreement and Employee’s employment may be terminated as follows:</w:t>
      </w:r>
    </w:p>
    <w:p>
      <w:pPr>
        <w:spacing w:after="0" w:line="162" w:lineRule="exact"/>
        <w:rPr>
          <w:sz w:val="20"/>
          <w:szCs w:val="20"/>
          <w:color w:val="auto"/>
        </w:rPr>
      </w:pPr>
    </w:p>
    <w:p>
      <w:pPr>
        <w:ind w:left="1540" w:hanging="236"/>
        <w:spacing w:after="0"/>
        <w:tabs>
          <w:tab w:leader="none" w:pos="1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Employee’s death;</w:t>
      </w:r>
    </w:p>
    <w:p>
      <w:pPr>
        <w:spacing w:after="0" w:line="225" w:lineRule="exact"/>
        <w:rPr>
          <w:rFonts w:ascii="Times New Roman" w:cs="Times New Roman" w:eastAsia="Times New Roman" w:hAnsi="Times New Roman"/>
          <w:sz w:val="18"/>
          <w:szCs w:val="18"/>
          <w:color w:val="auto"/>
        </w:rPr>
      </w:pPr>
    </w:p>
    <w:p>
      <w:pPr>
        <w:jc w:val="both"/>
        <w:ind w:firstLine="1304"/>
        <w:spacing w:after="0" w:line="254" w:lineRule="auto"/>
        <w:tabs>
          <w:tab w:leader="none" w:pos="15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Company upon thirty (30) days’ prior written notice to Employee in the event Employee, by reason of permanent physical or mental disability (which shall be determined by a physician selected by Company or its insurers and acceptable to Employee or Employee’s legal representative (such agreement as to acceptability not to be withheld unreasonably)), following such time as Employee has been unable to perform the essential functions of his position, with or without reasonable accommodation, for the longer of: (i) six (6) consecutive months or (ii) the maximum health leave provided under Company’s Health Leave of Absence policy for Employee’s length of service with Company; provided, however, Employee shall not be terminated due to permanent physical or mental disability unless or until said disability also entitles Employee to benefits under such disability insurance policy as is provided to Employee by Company, provided however that continued entitlement to disability benefits coverage shall be not required where Employee fails to qualify for benefits coverage continuation due to an act or omission by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356235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both"/>
        <w:ind w:left="-8" w:firstLine="1304"/>
        <w:spacing w:after="0" w:line="253" w:lineRule="auto"/>
        <w:tabs>
          <w:tab w:leader="none" w:pos="155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Company with or without Cause. For the purposes of this Agreement, “Cause” shall mean: (i) Employee’s engagement in any conduct which, in Company’s reasonable determination, constitutes gross misconduct, or is illegal, unethical or improper provided such conduct brings detrimental notoriety or material harm to Company; (ii) gross negligence or willful misconduct; (iii) any act which results in a conviction for a felony involving moral turpitude, fraud or misrepresentation; (iv) a material breach of a material provision of this Agreement by Employee, or (v) failure of Employee to follow a written directive of the Chief Executive Officer or the Board of Directors within thirty (30) days after receiving such notice, provided that such directive is reasonable in scope and is otherwise within the Chief Executive Officer’s or the Board’s reasonable business judgment, and is reasonably within Employee’s control; provided Employee does not cure said conduct or breach as set forth in (i)-(v)(to the extent curable) within thirty</w:t>
      </w:r>
    </w:p>
    <w:p>
      <w:pPr>
        <w:spacing w:after="0" w:line="2" w:lineRule="exact"/>
        <w:rPr>
          <w:rFonts w:ascii="Times New Roman" w:cs="Times New Roman" w:eastAsia="Times New Roman" w:hAnsi="Times New Roman"/>
          <w:sz w:val="18"/>
          <w:szCs w:val="18"/>
          <w:color w:val="auto"/>
        </w:rPr>
      </w:pPr>
    </w:p>
    <w:p>
      <w:pPr>
        <w:jc w:val="both"/>
        <w:ind w:left="-8" w:firstLine="8"/>
        <w:spacing w:after="0" w:line="253" w:lineRule="auto"/>
        <w:tabs>
          <w:tab w:leader="none" w:pos="34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Chief Executive Officer or the Board of Directors provides Employee with reasonably-detailed written notice of said conduct or breach accompanied by a clear written statement of Company’s intent to terminate the Employee’s employment for Cause in the absence of a cure. Cause shall not exist unless and until the Employee (and his counsel if he wishes) has been afforded an opportunity prior to the actual date of termination to discuss the matter with the Board of Directors at a duly-called Board meeting at which the matter is timely placed on the agenda and the Board subsequently votes to terminate the relationship for Cause.</w:t>
      </w:r>
    </w:p>
    <w:p>
      <w:pPr>
        <w:spacing w:after="0" w:line="186" w:lineRule="exact"/>
        <w:rPr>
          <w:rFonts w:ascii="Times New Roman" w:cs="Times New Roman" w:eastAsia="Times New Roman" w:hAnsi="Times New Roman"/>
          <w:sz w:val="18"/>
          <w:szCs w:val="18"/>
          <w:color w:val="auto"/>
        </w:rPr>
      </w:pPr>
    </w:p>
    <w:p>
      <w:pPr>
        <w:jc w:val="both"/>
        <w:ind w:left="-8" w:firstLine="1304"/>
        <w:spacing w:after="0" w:line="253" w:lineRule="auto"/>
        <w:tabs>
          <w:tab w:leader="none" w:pos="154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Employee with or without Good Reason. For purposes of this Agreement, “Good Reason” shall mean (i) a material breach of a material provision of this Agreement by Company, (ii) Company’s issuance of a notice of non-renewal of this Agreement under Section 2, (iii) a material diminution in Employee’s total annual compensation, including base salary, annual bonus opportunity and long-term incentives, (iv) a material diminution in Employee’s authority, duties or responsibilities, provided that Employee acknowledges and agrees that removal of the title of, or associated authority, duties or responsibilities of, either Chief Financial Officer or Chief Administrative Officer (but not removal of title authority, duties or responsibilities of both such positions) shall not constitute Good Reason hereunder, or (v) a change in the geographic location at which Employee must perform services hereunder of more than twenty-five (25) miles; provided, that, Employee provides the Board of Directors with written notice of Good Reason within thirty</w:t>
      </w:r>
    </w:p>
    <w:p>
      <w:pPr>
        <w:spacing w:after="0" w:line="2" w:lineRule="exact"/>
        <w:rPr>
          <w:rFonts w:ascii="Times New Roman" w:cs="Times New Roman" w:eastAsia="Times New Roman" w:hAnsi="Times New Roman"/>
          <w:sz w:val="18"/>
          <w:szCs w:val="18"/>
          <w:color w:val="auto"/>
        </w:rPr>
      </w:pPr>
    </w:p>
    <w:p>
      <w:pPr>
        <w:jc w:val="both"/>
        <w:ind w:left="-8" w:firstLine="8"/>
        <w:spacing w:after="0" w:line="255" w:lineRule="auto"/>
        <w:tabs>
          <w:tab w:leader="none" w:pos="353"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of the date on which Employee becomes aware of the condition alleged to give rise to Good Reason, Company does not cure such condition within thirty (30) days after such notice (to the extent curable), and Employee terminates his employment within ninety (90) days following the onset of one or more conditions giving rise to Good Reason.</w:t>
      </w:r>
    </w:p>
    <w:p>
      <w:pPr>
        <w:spacing w:after="0" w:line="186" w:lineRule="exact"/>
        <w:rPr>
          <w:sz w:val="20"/>
          <w:szCs w:val="20"/>
          <w:color w:val="auto"/>
        </w:rPr>
      </w:pPr>
    </w:p>
    <w:p>
      <w:pPr>
        <w:ind w:left="1612"/>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Impact of Termination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8" w:firstLine="1304"/>
        <w:spacing w:after="0" w:line="266" w:lineRule="auto"/>
        <w:tabs>
          <w:tab w:leader="none" w:pos="1546"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 of Covenants</w:t>
      </w:r>
      <w:r>
        <w:rPr>
          <w:rFonts w:ascii="Times New Roman" w:cs="Times New Roman" w:eastAsia="Times New Roman" w:hAnsi="Times New Roman"/>
          <w:sz w:val="18"/>
          <w:szCs w:val="18"/>
          <w:color w:val="auto"/>
        </w:rPr>
        <w:t>. Upon termination of this Agreement, all rights and obligations of the parties hereunder shall cease, except termination of employment pursuant to Section 4 or otherwise shall not terminate or otherwise affect the rights and obligations of the parties pursuant to Sections 5 through 13 hereof.</w:t>
      </w:r>
    </w:p>
    <w:p>
      <w:pPr>
        <w:spacing w:after="0" w:line="175" w:lineRule="exact"/>
        <w:rPr>
          <w:rFonts w:ascii="Times New Roman" w:cs="Times New Roman" w:eastAsia="Times New Roman" w:hAnsi="Times New Roman"/>
          <w:sz w:val="18"/>
          <w:szCs w:val="18"/>
          <w:color w:val="auto"/>
        </w:rPr>
      </w:pPr>
    </w:p>
    <w:p>
      <w:pPr>
        <w:jc w:val="both"/>
        <w:ind w:left="-8" w:firstLine="1304"/>
        <w:spacing w:after="0" w:line="257" w:lineRule="auto"/>
        <w:tabs>
          <w:tab w:leader="none" w:pos="1543"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w:t>
      </w:r>
      <w:r>
        <w:rPr>
          <w:rFonts w:ascii="Times New Roman" w:cs="Times New Roman" w:eastAsia="Times New Roman" w:hAnsi="Times New Roman"/>
          <w:sz w:val="18"/>
          <w:szCs w:val="18"/>
          <w:color w:val="auto"/>
        </w:rPr>
        <w:t>. In the event during the Employment Period (i) Company terminates Employee’s employment without Cause pursuant to Section 4.1(c) or (ii) the Employee terminates his employment for Good Reason pursuant to Section 4.1(d), subject to the execution and non-revocation of a release and waiver of all claims described below, Company shall continue his base salary in accordance with its regular payroll practices for a period of</w:t>
      </w:r>
    </w:p>
    <w:p>
      <w:pPr>
        <w:spacing w:after="0" w:line="1" w:lineRule="exact"/>
        <w:rPr>
          <w:rFonts w:ascii="Times New Roman" w:cs="Times New Roman" w:eastAsia="Times New Roman" w:hAnsi="Times New Roman"/>
          <w:sz w:val="18"/>
          <w:szCs w:val="18"/>
          <w:color w:val="auto"/>
        </w:rPr>
      </w:pPr>
    </w:p>
    <w:p>
      <w:pPr>
        <w:jc w:val="both"/>
        <w:ind w:left="-8" w:firstLine="8"/>
        <w:spacing w:after="0" w:line="251" w:lineRule="auto"/>
        <w:tabs>
          <w:tab w:leader="none" w:pos="29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twelve (12) months, commencing on the date that is thirty (30) days after the termination in the case of a termination of employment either prior to a Change in Control or following a period of twenty-four (24) months after a Change in Control or (B) eighteen (18) months, commencing on the date that is thirty (30) days after the termination in the case of a termination of employment during the twenty-four (24) month period immediately following a Change in Control. Notwithstanding anything herein to the contrary, receipt of any payment in connection with a termination of employment shall be conditioned on Employee signing a release and waiver of all claims against Company and its affiliates within thirty (30) days after his termination of employment, in such form and manner as Company shall reasonably prescribe, which release shall become effective and irrevocable within thirty (30) days after Employee’s termination of employment. Employee shall accept these payments in full discharge of all obligations of any kind which Company has to his except obligations, if any (i) for post-employment benefits expressly provided under this Agreement and/or at law, (ii) to repurchase any capital stock of Company owned by Employee (as may or may not be set forth in the applicable stock agreement); or (iii) for indemnification under separate agreement by virtue of Employee’s status as a director/officer of Company. Employee shall also be eligible to receive a bonus with respect to the year of termination to the extent provided in Section 3(b).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356870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580" w:right="339" w:bottom="1440" w:gutter="0" w:footer="0" w:header="0"/>
        </w:sectPr>
      </w:pPr>
    </w:p>
    <w:bookmarkStart w:id="7" w:name="page8"/>
    <w:bookmarkEnd w:id="7"/>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For purposes of these severance pay provisions and any other term of this Agreement which provides for a payment upon termination of employment, Employee shall be considered as having terminated employment only if such termination constitutes a “separation from service” within the meaning of Section 409A of the Code, and any proposed or final regulations and guidance promulgated thereunder. Notwithstanding anything herein to the contrary, in the event that Employee is determined to be a specified employee within the meaning of Section 409A of the Internal Revenue Code of 1986, as amended (the “Code”), for purposes of any payment on termination of employment hereunder, payment(s) shall be made or begin, as applicable, on the first payroll date which is more than six months following the date of separation from service, to the extent required to avoid any adverse tax consequences under Section 409A of the Code. Any payments that would have been made during such six (6) month period shall be made in a lump sum on the first payroll date which is more than six months following the date Employee separates from service with Company. Each payment under this Agreement shall be treated as a separate payment for purposes of Section 409A of the Code. In no event may Employee, directly or indirectly, designate the calendar year of any payment to be made under this Agreement. This Agreement shall be interpreted and administered in a manner consistent with Section 409A of the Code.</w:t>
      </w:r>
    </w:p>
    <w:p>
      <w:pPr>
        <w:spacing w:after="0" w:line="192"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For purposes of this Agreement, “Change in Control” shall mean: (i) the purchase or other acquisition (other than from Company) by any person, entity or group of persons, within the meaning of Section 13(d) or 14(d) of the Securities Exchange Act of 1934, as amended (“Act”) (excluding, for this purpose, Company or its subsidiaries or any employee benefit plan of Company or its subsidiaries), of beneficial ownership (within the meaning of Rule 13d-3 promulgated under the Act) of 20% or more of either the then-outstanding shares of common stock of Company or the combined voting power of Company’s then-outstanding voting securities entitled to vote generally in the election of directors; (ii) individuals who, as of the date hereof, constitute Company’s Board of Directors (and, as of the date hereof, the “Incumbent Board”) cease for any reason to constitute at least a majority of Company’s Board of Directors, provided that any person who becomes a director subsequent to the date hereof whose election, or nomination for election by Company’s stockholders, was approved by a vote of at least a majority of the directors then comprising the Incumbent Board (other than an individual whose initial assumption of office is in connection with an actual or threatened election contest relating to the election of directors of Company, as such terms are used in Rule 14a-11 of Regulation 14A promulgated under the Act) shall be, for purposes of this Section, considered as though such person were a member of the Incumbent Board; (iii) a reorganization, merger or consolidation involving Company, in each case with respect to which persons who were the stockholders of Company immediately prior to such reorganization, merger or consolidation do not, immediately thereafter, own more than 50% of, respectively, the common stock and the combined voting power entitled to vote generally in the election of directors of the reorganized, merged or consolidated corporation’s then-outstanding voting securities; or (iv) a liquidation or dissolution of Company, or the sale of all or substantially all of the assets of Company.</w:t>
      </w:r>
    </w:p>
    <w:p>
      <w:pPr>
        <w:spacing w:after="0" w:line="196" w:lineRule="exact"/>
        <w:rPr>
          <w:sz w:val="20"/>
          <w:szCs w:val="20"/>
          <w:color w:val="auto"/>
        </w:rPr>
      </w:pPr>
    </w:p>
    <w:p>
      <w:pPr>
        <w:jc w:val="both"/>
        <w:ind w:firstLine="1304"/>
        <w:spacing w:after="0" w:line="255" w:lineRule="auto"/>
        <w:tabs>
          <w:tab w:leader="none" w:pos="15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due to Employee Non-Renewal of Term or Termination by Employee without Good Reason</w:t>
      </w:r>
      <w:r>
        <w:rPr>
          <w:rFonts w:ascii="Times New Roman" w:cs="Times New Roman" w:eastAsia="Times New Roman" w:hAnsi="Times New Roman"/>
          <w:sz w:val="18"/>
          <w:szCs w:val="18"/>
          <w:color w:val="auto"/>
        </w:rPr>
        <w:t>. If the Agreement expires either at the end of the Renewal Term or at the end of any Renewal Period, due to the issuance of notice of non-renewal by Employee under Section 2, then no severance under Section 4.2(b) shall be paid to the Employee and his employment shall terminate upon the anniversary date. If Employee terminates his employment without Good Reason, then no severance under Section 4.2(b) shall be paid to Employee and his employment shall terminate on the effective date of such termination. For the avoidance of doubt, if Company ends the employment relationship either at the end of the Renewal Term or at the end of any Renewal Period without Cause under Section 4.1(c), Company shall remit to Employee the severance specified in Section 4.2(b) provided Company has received the release and waiver referred to in Section 4.2(b).</w:t>
      </w:r>
    </w:p>
    <w:p>
      <w:pPr>
        <w:spacing w:after="0" w:line="188" w:lineRule="exact"/>
        <w:rPr>
          <w:rFonts w:ascii="Times New Roman" w:cs="Times New Roman" w:eastAsia="Times New Roman" w:hAnsi="Times New Roman"/>
          <w:sz w:val="18"/>
          <w:szCs w:val="18"/>
          <w:color w:val="auto"/>
        </w:rPr>
      </w:pPr>
    </w:p>
    <w:p>
      <w:pPr>
        <w:jc w:val="both"/>
        <w:ind w:firstLine="1304"/>
        <w:spacing w:after="0" w:line="256" w:lineRule="auto"/>
        <w:tabs>
          <w:tab w:leader="none" w:pos="156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Welfare Benefits</w:t>
      </w:r>
      <w:r>
        <w:rPr>
          <w:rFonts w:ascii="Times New Roman" w:cs="Times New Roman" w:eastAsia="Times New Roman" w:hAnsi="Times New Roman"/>
          <w:sz w:val="18"/>
          <w:szCs w:val="18"/>
          <w:color w:val="auto"/>
        </w:rPr>
        <w:t>. Upon termination or expiration of this Agreement for any reason, Employee shall be provided with such Welfare Benefits continuation notices, rights and obligations as may be required under federal or state law (including COBRA). In the event that Employee becomes entitled to any severance under paragraph 4.2(b) above, the Company shall pay Employee, within thirty (30) days of his termination of employment, a single lump sum equal to eighteen multiplied by the monthly Company-paid portion of health, dental and vision plan coverage premiums for those benefits in which Employee and his dependents are enrolled on the date of termination of employment. Such amount shall be subject to applicable income and employment tax withholdings.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8" w:name="page9"/>
    <w:bookmarkEnd w:id="8"/>
    <w:p>
      <w:pPr>
        <w:ind w:left="1740" w:hanging="184"/>
        <w:spacing w:after="0"/>
        <w:tabs>
          <w:tab w:leader="none" w:pos="174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57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agrees to keep secret and confidential, and not to use or disclose to any third parties, except as directly required for Employee to perform Employee’s employment responsibilities for Company, any of Company’s proprietary Confidential Information.</w:t>
      </w:r>
    </w:p>
    <w:p>
      <w:pPr>
        <w:spacing w:after="0" w:line="161" w:lineRule="exact"/>
        <w:rPr>
          <w:rFonts w:ascii="Times New Roman" w:cs="Times New Roman" w:eastAsia="Times New Roman" w:hAnsi="Times New Roman"/>
          <w:sz w:val="18"/>
          <w:szCs w:val="18"/>
          <w:color w:val="auto"/>
        </w:rPr>
      </w:pPr>
    </w:p>
    <w:p>
      <w:pPr>
        <w:jc w:val="both"/>
        <w:ind w:firstLine="1304"/>
        <w:spacing w:after="0" w:line="261" w:lineRule="auto"/>
        <w:tabs>
          <w:tab w:leader="none" w:pos="157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and confirms that certain data and other information (whether in human or machine readable form) that comes into his possession or knowledge (whether before or after the date of this Agreement) and which was obtained from Company, or obtained by Employee for or on behalf of Company, and which is identified herein (the “Confidential Information”) is the secret, confidential property of Company. This Confidential Information includes, but is not limited to:</w:t>
      </w:r>
    </w:p>
    <w:p>
      <w:pPr>
        <w:spacing w:after="0" w:line="179"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lists or other identification of customers or prospective customers of Company;</w:t>
      </w:r>
    </w:p>
    <w:p>
      <w:pPr>
        <w:spacing w:after="0" w:line="225"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2875"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lists or other identification of sources or prospective sources of Company’s products or components thereof, its landlords and prospective landlords and its current and prospective alliance, marketing and media partners (and key individuals employed or engaged by such parties);</w:t>
      </w:r>
    </w:p>
    <w:p>
      <w:pPr>
        <w:spacing w:after="0" w:line="175" w:lineRule="exact"/>
        <w:rPr>
          <w:rFonts w:ascii="Times New Roman" w:cs="Times New Roman" w:eastAsia="Times New Roman" w:hAnsi="Times New Roman"/>
          <w:sz w:val="18"/>
          <w:szCs w:val="18"/>
          <w:color w:val="auto"/>
        </w:rPr>
      </w:pPr>
    </w:p>
    <w:p>
      <w:pPr>
        <w:ind w:left="1300" w:right="20" w:firstLine="1300"/>
        <w:spacing w:after="0" w:line="282" w:lineRule="auto"/>
        <w:tabs>
          <w:tab w:leader="none" w:pos="2853"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compilations of information, correspondence, designs, drawings, files, formulae, lists, machines, maps, methods, models, studies, surveys, scripts, screenplays, artwork, sketches, notes or other writings, plans, leases, records and reports;</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2864"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sales and marketing data relating to Company or to the industry or other areas pertaining to Company’s activities and contemplated activities (including, without limitation, leasing, manufacturing, transportation, distribution and sales costs and non-public pricing information);</w:t>
      </w:r>
    </w:p>
    <w:p>
      <w:pPr>
        <w:spacing w:after="0" w:line="175" w:lineRule="exact"/>
        <w:rPr>
          <w:rFonts w:ascii="Times New Roman" w:cs="Times New Roman" w:eastAsia="Times New Roman" w:hAnsi="Times New Roman"/>
          <w:sz w:val="18"/>
          <w:szCs w:val="18"/>
          <w:color w:val="auto"/>
        </w:rPr>
      </w:pPr>
    </w:p>
    <w:p>
      <w:pPr>
        <w:ind w:left="1300" w:firstLine="1300"/>
        <w:spacing w:after="0" w:line="282" w:lineRule="auto"/>
        <w:tabs>
          <w:tab w:leader="none" w:pos="2891"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materials, designs, procedures, processes, and techniques used in, or related to, the development, manufacture, assembly, fabrication or other production and quality control of Company’s products, stores and services;</w:t>
      </w:r>
    </w:p>
    <w:p>
      <w:pPr>
        <w:spacing w:after="0" w:line="161" w:lineRule="exact"/>
        <w:rPr>
          <w:rFonts w:ascii="Times New Roman" w:cs="Times New Roman" w:eastAsia="Times New Roman" w:hAnsi="Times New Roman"/>
          <w:sz w:val="18"/>
          <w:szCs w:val="18"/>
          <w:color w:val="auto"/>
        </w:rPr>
      </w:pPr>
    </w:p>
    <w:p>
      <w:pPr>
        <w:jc w:val="both"/>
        <w:ind w:left="1300" w:firstLine="1300"/>
        <w:spacing w:after="0" w:line="266" w:lineRule="auto"/>
        <w:tabs>
          <w:tab w:leader="none" w:pos="2861"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relations with its past, current and prospective customers, suppliers, landlords, alliance, marketing and media partners and the nature and type of products or services rendered to, received from or developed with such parties or prospective parties;</w:t>
      </w:r>
    </w:p>
    <w:p>
      <w:pPr>
        <w:spacing w:after="0" w:line="175" w:lineRule="exact"/>
        <w:rPr>
          <w:rFonts w:ascii="Times New Roman" w:cs="Times New Roman" w:eastAsia="Times New Roman" w:hAnsi="Times New Roman"/>
          <w:sz w:val="18"/>
          <w:szCs w:val="18"/>
          <w:color w:val="auto"/>
        </w:rPr>
      </w:pPr>
    </w:p>
    <w:p>
      <w:pPr>
        <w:ind w:left="2860" w:hanging="260"/>
        <w:spacing w:after="0"/>
        <w:tabs>
          <w:tab w:leader="none" w:pos="2860"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relations with its employees (including, without limitation, salaries, job classifications and skill levels);</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left="1300" w:firstLine="1300"/>
        <w:spacing w:after="0" w:line="282" w:lineRule="auto"/>
        <w:tabs>
          <w:tab w:leader="none" w:pos="2885" w:val="left"/>
        </w:tabs>
        <w:numPr>
          <w:ilvl w:val="2"/>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information designated by Company to be confidential, secret and/or proprietary (including without limitation, information provided by customers, suppliers and alliance partners of Company).</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Notwithstanding the foregoing, the term Confidential Information shall not consist of any data or other information which has been made publicly available or otherwise placed in the public domain other than by Employee in violation of this Agreement. Notwithstanding the foregoing, Employee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In addition, if Employee files a lawsuit for retaliation by the Company for reporting a suspected violation of law, Employee may disclose the trade secret to Employee’s attorney and use the trade secret information in the court proceeding if Employee files any document containing the trade secret under seal and does not disclose the trade secret except pursuant to court order.</w:t>
      </w:r>
    </w:p>
    <w:p>
      <w:pPr>
        <w:spacing w:after="0" w:line="192" w:lineRule="exact"/>
        <w:rPr>
          <w:sz w:val="20"/>
          <w:szCs w:val="20"/>
          <w:color w:val="auto"/>
        </w:rPr>
      </w:pPr>
    </w:p>
    <w:p>
      <w:pPr>
        <w:jc w:val="both"/>
        <w:ind w:firstLine="1304"/>
        <w:spacing w:after="0" w:line="266" w:lineRule="auto"/>
        <w:tabs>
          <w:tab w:leader="none" w:pos="154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Employment Period, Employee will not copy, reproduce or otherwise duplicate, record, abstract, summarize or otherwise use, any papers, records, reports, studies, computer printouts, equipment, tools or other property owned by Company except as expressly permitted by Company in writing or required for the proper performance of his duties on behalf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9" w:name="page10"/>
    <w:bookmarkEnd w:id="9"/>
    <w:p>
      <w:pPr>
        <w:jc w:val="both"/>
        <w:ind w:left="-1120" w:firstLine="1304"/>
        <w:spacing w:after="0" w:line="253" w:lineRule="auto"/>
        <w:tabs>
          <w:tab w:leader="none" w:pos="36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Post-Termination Restrictions</w:t>
      </w:r>
      <w:r>
        <w:rPr>
          <w:rFonts w:ascii="Times New Roman" w:cs="Times New Roman" w:eastAsia="Times New Roman" w:hAnsi="Times New Roman"/>
          <w:sz w:val="18"/>
          <w:szCs w:val="18"/>
          <w:color w:val="auto"/>
        </w:rPr>
        <w:t>. Employee recognizes that (i) Company has spent substantial money, time and effort over the years in developing and solidifying its relationships with its customers, suppliers, landlords and alliance, marketing and media partners and in developing its Confidential Information; (ii) long-term customer, landlord, supplier and partner relationships often can be difficult to develop and require a significant investment of time, effort and expense; (iii) Company has paid its employees to, among other things, develop and preserve business information, customer, landlord, vendor and partner goodwill, customer, landlord, vendor and partner loyalty and customer, landlord, vendor and partner contacts for and on behalf of Company; and (iv) Company is hereby agreeing to employ and pay Employee based upon Employee’s assurances and promises not to divert goodwill of customers, landlords, suppliers or partners of Company, either individually or on a combined basis, or to put himself in a position following Employee’s employment with Company in which the confidentiality of Company’s Confidential Information might somehow be compromised. Accordingly, Employee agrees that during the Employment Period and for the period of time set forth below following termination of employment, provided termination is in accordance with the terms of Section 4.1(b), (c), or (d), or due to expiration of the Agreement due to non-renewal by either party, Employee will not, directly or indirectly (whether as owner, partner, consultant, employee or otherwise):</w:t>
      </w:r>
    </w:p>
    <w:p>
      <w:pPr>
        <w:spacing w:after="0" w:line="192" w:lineRule="exact"/>
        <w:rPr>
          <w:sz w:val="20"/>
          <w:szCs w:val="20"/>
          <w:color w:val="auto"/>
        </w:rPr>
      </w:pPr>
    </w:p>
    <w:p>
      <w:pPr>
        <w:jc w:val="both"/>
        <w:ind w:left="-1120" w:firstLine="1304"/>
        <w:spacing w:after="0" w:line="253" w:lineRule="auto"/>
        <w:tabs>
          <w:tab w:leader="none" w:pos="4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one (1) year, engage in, assist or have an interest in, or enter the employment of or act as an agent, advisor or consultant for, any person or entity which is engaged in, or will be engaged in, the development, manufacture, supplying or sale of a product, process, service or development which is competitive with a product, process, service or development on which Employee worked or with respect to which Employee has or had access to Confidential Information while at Company (“Restricted Activity”), and which is located within the United States or within any country where Company has established a retail presence either directly or through a franchise arrangement;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following termination of his employment, Employee shall be entitled to be an employee of an entity that engages in Restricted Activity so long as: (i) the sale of stuffed plush toys is not a material business of the entity; (ii) Employee has no direct or personal involvement in the sale of stuffed plush toys; and (iii) neither Employee, his relatives, nor any other entities with which she is affiliated own more than 1% of the entity. As used in this paragraph 6, “material business” shall mean that either (A) greater than 10% of annual revenues received by such entity were derived from the sale of stuffed plush toys and related products, or (B) or the entity otherwise annually derives or is projected to derive annual revenues in excess of $5 million from a retail concept that is similar in any material regard to Company; or</w:t>
      </w:r>
    </w:p>
    <w:p>
      <w:pPr>
        <w:spacing w:after="0" w:line="191" w:lineRule="exact"/>
        <w:rPr>
          <w:rFonts w:ascii="Times New Roman" w:cs="Times New Roman" w:eastAsia="Times New Roman" w:hAnsi="Times New Roman"/>
          <w:sz w:val="18"/>
          <w:szCs w:val="18"/>
          <w:color w:val="auto"/>
        </w:rPr>
      </w:pPr>
    </w:p>
    <w:p>
      <w:pPr>
        <w:ind w:left="-1120" w:firstLine="1304"/>
        <w:spacing w:after="0" w:line="282" w:lineRule="auto"/>
        <w:tabs>
          <w:tab w:leader="none" w:pos="44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one (1) year, induce or attempt to induce any employee, consultant, partner or advisor of Company to accept employment or an affiliation with any other entity.</w:t>
      </w:r>
    </w:p>
    <w:p>
      <w:pPr>
        <w:spacing w:after="0" w:line="162" w:lineRule="exact"/>
        <w:rPr>
          <w:sz w:val="20"/>
          <w:szCs w:val="20"/>
          <w:color w:val="auto"/>
        </w:rPr>
      </w:pPr>
    </w:p>
    <w:p>
      <w:pPr>
        <w:jc w:val="both"/>
        <w:ind w:left="-1120" w:firstLine="1304"/>
        <w:spacing w:after="0" w:line="266" w:lineRule="auto"/>
        <w:tabs>
          <w:tab w:leader="none" w:pos="35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 Regarding Restrictions</w:t>
      </w:r>
      <w:r>
        <w:rPr>
          <w:rFonts w:ascii="Times New Roman" w:cs="Times New Roman" w:eastAsia="Times New Roman" w:hAnsi="Times New Roman"/>
          <w:sz w:val="18"/>
          <w:szCs w:val="18"/>
          <w:color w:val="auto"/>
        </w:rPr>
        <w:t>. Employee recognizes and agrees that the restraints contained in Section 6 (both separately and in total), including the geographic scope thereof in light of Company’s marketing efforts, are reasonable and enforceable in view of Company’s legitimate interests in protecting its Confidential Information and customer goodwill and the limited scope of the restrictions in Section 6.</w:t>
      </w:r>
    </w:p>
    <w:p>
      <w:pPr>
        <w:spacing w:after="0" w:line="175"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Inventions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1120" w:firstLine="2042"/>
        <w:spacing w:after="0" w:line="254" w:lineRule="auto"/>
        <w:tabs>
          <w:tab w:leader="none" w:pos="1173"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ideas, inventions, discoveries, patents, patent applications, continuation-in-part patent applications, divisional patent applications, technology, copyrights, derivative works, trademarks, service marks, improvements, trade secrets and the like (collectively, “Inventions”), which are developed, conceived, created, discovered, learned, produced and/or otherwise generated by Employee, whether individually or otherwise, during the time that Employee is employed by Company, whether or not during working hours, that relate to (i) current and anticipated businesses and/or activities of Company, (ii) the current and anticipated research or development of Company, or (iii) any work performed by Employee for Company, shall be the sole and exclusive property of Company, and Company shall own any and all right, title and interest to such Inventions. Employee assigns, and agrees to assign to Company whenever so requested by Company, any and all right, title and interest in and to any such Invention, at Company’s expense, and Employee agrees to execute any and all applications, assignments or other instruments which Company deems desirable or necessary to protect such interests, at Company’s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354330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0" w:name="page11"/>
    <w:bookmarkEnd w:id="10"/>
    <w:p>
      <w:pPr>
        <w:jc w:val="both"/>
        <w:ind w:left="-1120" w:firstLine="2042"/>
        <w:spacing w:after="0" w:line="252" w:lineRule="auto"/>
        <w:tabs>
          <w:tab w:leader="none" w:pos="11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acknowledges that as part of his work for Company he may be asked to create, or contribute to the creation of, computer programs, documentation and other copyrightable works. Employee hereby agrees that any and all computer programs, documentation and other copyrightable materials that he has prepared or worked on for Company, or is asked to prepare or work on by Company, shall be treated as and shall be a “work made for hire,” for the exclusive ownership and benefit of Company according to the copyright laws of the United States, including, but not limited to, Sections 101 and 201 of Title 17 of the U.S. Code (“U.S.C.”) as well as according to similar foreign laws. Company shall have the exclusive right to register the copyrights in all such works in its name as the owner and author of such works and shall have the exclusive rights conveyed under 17 U.S.C. §§ 106 and 106A including, but not limited to, the right to make all uses of the works in which attribution or integrity rights may be implicated. Without in any way limiting the foregoing, to the extent the works are not treated as works made for hire under any applicable law, Employee hereby irrevocably assigns, transfers, and conveys to Company and its successors and assigns any and all worldwide right, title, and interest that Employee may now or in the future have in or to the works, including, but not limited to, all ownership, U.S. and foreign copyrights, all treaty, convention, statutory, and common law rights under the law of any U.S. or foreign jurisdiction, the right to sue for past, present, and future infringement, and moral, attribution, and integrity rights. Employee hereby expressly and forever irrevocably waives any and all rights that he may have arising under 17 U.S.C. §§ 106A, rights that may arise under any federal, state, or foreign law that conveys rights that are similar in nature to those conveyed under 17 U.S.C. §§ 106A, and any other type of moral right or droit moral.</w:t>
      </w:r>
    </w:p>
    <w:p>
      <w:pPr>
        <w:spacing w:after="0" w:line="197" w:lineRule="exact"/>
        <w:rPr>
          <w:sz w:val="20"/>
          <w:szCs w:val="20"/>
          <w:color w:val="auto"/>
        </w:rPr>
      </w:pPr>
    </w:p>
    <w:p>
      <w:pPr>
        <w:jc w:val="both"/>
        <w:ind w:left="-1120" w:right="20" w:firstLine="2042"/>
        <w:spacing w:after="0" w:line="261" w:lineRule="auto"/>
        <w:tabs>
          <w:tab w:leader="none" w:pos="109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Property</w:t>
      </w:r>
      <w:r>
        <w:rPr>
          <w:rFonts w:ascii="Times New Roman" w:cs="Times New Roman" w:eastAsia="Times New Roman" w:hAnsi="Times New Roman"/>
          <w:sz w:val="18"/>
          <w:szCs w:val="18"/>
          <w:color w:val="auto"/>
        </w:rPr>
        <w:t>. Employee acknowledges that any and all notes, records, sketches, computer diskettes, training materials and other documents relating to Company obtained by or provided to Employee, or otherwise made, produced or compiled during the Employment Period, regardless of the type of medium in which they are preserved, are the sole and exclusive property of Company and shall be surrendered to Company upon Employee’s termination of employment and on demand at any time by Company.</w:t>
      </w:r>
    </w:p>
    <w:p>
      <w:pPr>
        <w:spacing w:after="0" w:line="179" w:lineRule="exact"/>
        <w:rPr>
          <w:rFonts w:ascii="Times New Roman" w:cs="Times New Roman" w:eastAsia="Times New Roman" w:hAnsi="Times New Roman"/>
          <w:sz w:val="18"/>
          <w:szCs w:val="18"/>
          <w:color w:val="auto"/>
        </w:rPr>
      </w:pPr>
    </w:p>
    <w:p>
      <w:pPr>
        <w:jc w:val="both"/>
        <w:ind w:left="-1120" w:firstLine="2042"/>
        <w:spacing w:after="0" w:line="254" w:lineRule="auto"/>
        <w:tabs>
          <w:tab w:leader="none" w:pos="119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Nondisparagement</w:t>
      </w:r>
      <w:r>
        <w:rPr>
          <w:rFonts w:ascii="Times New Roman" w:cs="Times New Roman" w:eastAsia="Times New Roman" w:hAnsi="Times New Roman"/>
          <w:sz w:val="18"/>
          <w:szCs w:val="18"/>
          <w:color w:val="auto"/>
        </w:rPr>
        <w:t>. Employee agrees that he will not in any way disparage Company or its affiliated entities, officers, or directors; and the officers and directors shall not in any way disparage Employee. Further, Employee agrees that he will neither make nor solicit any comments, statements, or the like to the media or to third parties that may be considered to be derogatory or detrimental to the good name or business reputation of Company or any of its affiliated entities, officers or directors; and the officers and directors will neither make nor solicit any comments, statements, or the like to the media or to third parties that may be considered to be derogatory or detrimental to the good name or business reputation of Employee. This Section 10 does not, in any way, restrict or impede the Employee from exercising protected rights to the extent that such rights cannot be waived by agreement or from complying with any applicable law or regulation or a valid order of a court of competent jurisdiction or an authorized government agency, provided that such compliance does not exceed that required by the law, regulation, or order.</w:t>
      </w:r>
    </w:p>
    <w:p>
      <w:pPr>
        <w:spacing w:after="0" w:line="191" w:lineRule="exact"/>
        <w:rPr>
          <w:rFonts w:ascii="Times New Roman" w:cs="Times New Roman" w:eastAsia="Times New Roman" w:hAnsi="Times New Roman"/>
          <w:sz w:val="18"/>
          <w:szCs w:val="18"/>
          <w:color w:val="auto"/>
        </w:rPr>
      </w:pPr>
    </w:p>
    <w:p>
      <w:pPr>
        <w:jc w:val="both"/>
        <w:ind w:left="-1120" w:firstLine="2042"/>
        <w:spacing w:after="0" w:line="261" w:lineRule="auto"/>
        <w:tabs>
          <w:tab w:leader="none" w:pos="11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Non-Waiver of Rights</w:t>
      </w:r>
      <w:r>
        <w:rPr>
          <w:rFonts w:ascii="Times New Roman" w:cs="Times New Roman" w:eastAsia="Times New Roman" w:hAnsi="Times New Roman"/>
          <w:sz w:val="18"/>
          <w:szCs w:val="18"/>
          <w:color w:val="auto"/>
        </w:rPr>
        <w:t>. Either party’s failure to enforce at any time any of the provisions of this Agreement or to require at any time performance by the other party of any of the provisions hereof shall in no way be construed to be a waiver of such provisions or to affect either the validity of this Agreement, or any part hereof, or the right of the non-breaching party thereafter to enforce each and every provision in accordance with the terms of this Agreement.</w:t>
      </w:r>
    </w:p>
    <w:p>
      <w:pPr>
        <w:spacing w:after="0" w:line="179" w:lineRule="exact"/>
        <w:rPr>
          <w:rFonts w:ascii="Times New Roman" w:cs="Times New Roman" w:eastAsia="Times New Roman" w:hAnsi="Times New Roman"/>
          <w:sz w:val="18"/>
          <w:szCs w:val="18"/>
          <w:color w:val="auto"/>
        </w:rPr>
      </w:pPr>
    </w:p>
    <w:p>
      <w:pPr>
        <w:jc w:val="both"/>
        <w:ind w:left="-1120" w:firstLine="2042"/>
        <w:spacing w:after="0" w:line="256" w:lineRule="auto"/>
        <w:tabs>
          <w:tab w:leader="none" w:pos="12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Company’s Right to Injunctive Relief</w:t>
      </w:r>
      <w:r>
        <w:rPr>
          <w:rFonts w:ascii="Times New Roman" w:cs="Times New Roman" w:eastAsia="Times New Roman" w:hAnsi="Times New Roman"/>
          <w:sz w:val="18"/>
          <w:szCs w:val="18"/>
          <w:color w:val="auto"/>
        </w:rPr>
        <w:t>. In the event of a breach or threatened breach of any of Employee’s duties and obligations under the terms and provisions of Sections 5, 6, or 8 hereof, Company shall be entitled, in addition to any other legal or equitable remedies it may have in connection therewith (including any right to damages that it may suffer), to seek temporary, preliminary and permanent injunctive relief restraining such breach or threatened breach, without the necessity of posting any bond. Employee hereby expressly acknowledges that the harm which might result to Company’s business as a result of any noncompliance by Employee with any of the provisions of Sections 5, 6 or 8 would be largely irreparable.</w:t>
      </w:r>
    </w:p>
    <w:p>
      <w:pPr>
        <w:spacing w:after="0" w:line="187" w:lineRule="exact"/>
        <w:rPr>
          <w:rFonts w:ascii="Times New Roman" w:cs="Times New Roman" w:eastAsia="Times New Roman" w:hAnsi="Times New Roman"/>
          <w:sz w:val="18"/>
          <w:szCs w:val="18"/>
          <w:color w:val="auto"/>
        </w:rPr>
      </w:pPr>
    </w:p>
    <w:p>
      <w:pPr>
        <w:jc w:val="both"/>
        <w:ind w:left="-1120" w:firstLine="2042"/>
        <w:spacing w:after="0" w:line="258" w:lineRule="auto"/>
        <w:tabs>
          <w:tab w:leader="none" w:pos="118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Judicial Enforcement</w:t>
      </w:r>
      <w:r>
        <w:rPr>
          <w:rFonts w:ascii="Times New Roman" w:cs="Times New Roman" w:eastAsia="Times New Roman" w:hAnsi="Times New Roman"/>
          <w:sz w:val="18"/>
          <w:szCs w:val="18"/>
          <w:color w:val="auto"/>
        </w:rPr>
        <w:t>. If any provision of this Agreement is adjudicated to be invalid or unenforceable under applicable law in any jurisdiction, the validity or enforceability of the remaining provisions thereof shall be unaffected as to such jurisdiction and such adjudication shall not affect the validity or enforceability of such provisions in any other jurisdiction. To the extent that any provision of this Agreement is adjudicated to be invalid or unenforceable because it is overbroad, that provision shall not be void but rather shall be limited only to the extent required by applicable law and enforced as so limited. The parties expressly acknowledge and agree that this Section is reasonable in view of the parties’ respective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351155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1" w:name="page12"/>
    <w:bookmarkEnd w:id="11"/>
    <w:p>
      <w:pPr>
        <w:jc w:val="both"/>
        <w:ind w:left="-1120" w:firstLine="2042"/>
        <w:spacing w:after="0" w:line="258" w:lineRule="auto"/>
        <w:tabs>
          <w:tab w:leader="none" w:pos="122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Representations</w:t>
      </w:r>
      <w:r>
        <w:rPr>
          <w:rFonts w:ascii="Times New Roman" w:cs="Times New Roman" w:eastAsia="Times New Roman" w:hAnsi="Times New Roman"/>
          <w:sz w:val="18"/>
          <w:szCs w:val="18"/>
          <w:color w:val="auto"/>
        </w:rPr>
        <w:t>. Employee represents that the execution and delivery of the Agreement and Employee’s employment with Company do not violate any previous employment agreement or other contractual obligation of Employee. Employee further represents and agrees that he will not, during his employment with Company, improperly use or disclose any proprietary information or trade secrets of former employers and will not bring on to the premises of Company any unpublished documents or any property belonging to his former employers unless consented to in writing by such employers.</w:t>
      </w:r>
    </w:p>
    <w:p>
      <w:pPr>
        <w:spacing w:after="0" w:line="183" w:lineRule="exact"/>
        <w:rPr>
          <w:rFonts w:ascii="Times New Roman" w:cs="Times New Roman" w:eastAsia="Times New Roman" w:hAnsi="Times New Roman"/>
          <w:sz w:val="18"/>
          <w:szCs w:val="18"/>
          <w:color w:val="auto"/>
        </w:rPr>
      </w:pPr>
    </w:p>
    <w:p>
      <w:pPr>
        <w:jc w:val="both"/>
        <w:ind w:left="-1120" w:firstLine="2042"/>
        <w:spacing w:after="0" w:line="266" w:lineRule="auto"/>
        <w:tabs>
          <w:tab w:leader="none" w:pos="11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modification, amendment or waiver of any of the provisions of this Agreement shall be effective unless in writing specifically referring hereto, and signed by the parties hereto. This Agreement supersedes all prior agreements and understandings between Employee and Company to the extent that any such agreements or understandings conflict with the terms of this Agreement.</w:t>
      </w:r>
    </w:p>
    <w:p>
      <w:pPr>
        <w:spacing w:after="0" w:line="175" w:lineRule="exact"/>
        <w:rPr>
          <w:rFonts w:ascii="Times New Roman" w:cs="Times New Roman" w:eastAsia="Times New Roman" w:hAnsi="Times New Roman"/>
          <w:sz w:val="18"/>
          <w:szCs w:val="18"/>
          <w:color w:val="auto"/>
        </w:rPr>
      </w:pPr>
    </w:p>
    <w:p>
      <w:pPr>
        <w:jc w:val="both"/>
        <w:ind w:left="-1120" w:firstLine="2042"/>
        <w:spacing w:after="0" w:line="266" w:lineRule="auto"/>
        <w:tabs>
          <w:tab w:leader="none" w:pos="11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w:t>
      </w:r>
      <w:r>
        <w:rPr>
          <w:rFonts w:ascii="Times New Roman" w:cs="Times New Roman" w:eastAsia="Times New Roman" w:hAnsi="Times New Roman"/>
          <w:sz w:val="18"/>
          <w:szCs w:val="18"/>
          <w:color w:val="auto"/>
        </w:rPr>
        <w:t>. This Agreement shall be freely assignable by Company to and shall inure to the benefit of, and be binding upon, Company, its affiliates, successors and assigns and/or any other entity which shall succeed to the business presently being conducted by Company. Being a contract for personal services, neither this Agreement nor any rights hereunder shall be assigned by Employee.</w:t>
      </w:r>
    </w:p>
    <w:p>
      <w:pPr>
        <w:spacing w:after="0" w:line="175" w:lineRule="exact"/>
        <w:rPr>
          <w:rFonts w:ascii="Times New Roman" w:cs="Times New Roman" w:eastAsia="Times New Roman" w:hAnsi="Times New Roman"/>
          <w:sz w:val="18"/>
          <w:szCs w:val="18"/>
          <w:color w:val="auto"/>
        </w:rPr>
      </w:pPr>
    </w:p>
    <w:p>
      <w:pPr>
        <w:jc w:val="both"/>
        <w:ind w:left="-1120" w:firstLine="2042"/>
        <w:spacing w:after="0" w:line="256" w:lineRule="auto"/>
        <w:tabs>
          <w:tab w:leader="none" w:pos="119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Choice of Forum and Governing Law</w:t>
      </w:r>
      <w:r>
        <w:rPr>
          <w:rFonts w:ascii="Times New Roman" w:cs="Times New Roman" w:eastAsia="Times New Roman" w:hAnsi="Times New Roman"/>
          <w:sz w:val="18"/>
          <w:szCs w:val="18"/>
          <w:color w:val="auto"/>
        </w:rPr>
        <w:t>. In light of Company’s substantial contacts with the State of Missouri, the parties’ interests in ensuring that disputes regarding the interpretation, validity and enforceability of this Agreement are resolved on a uniform basis, and Company’s execution of, and the making of, this Agreement in Missouri, the parties agree that: (i) any litigation involving any noncompliance with or breach of the Agreement, or regarding the interpretation, validity and/or enforceability of the Agreement, shall be filed and conducted in the state or federal courts in St. Louis City or County, Missouri; and (ii) the Agreement shall be interpreted in accordance with and governed by the laws of the State of Missouri, without regard for any conflict of law principles.</w:t>
      </w:r>
    </w:p>
    <w:p>
      <w:pPr>
        <w:spacing w:after="0" w:line="187" w:lineRule="exact"/>
        <w:rPr>
          <w:rFonts w:ascii="Times New Roman" w:cs="Times New Roman" w:eastAsia="Times New Roman" w:hAnsi="Times New Roman"/>
          <w:sz w:val="18"/>
          <w:szCs w:val="18"/>
          <w:color w:val="auto"/>
        </w:rPr>
      </w:pPr>
    </w:p>
    <w:p>
      <w:pPr>
        <w:ind w:left="-1120" w:firstLine="2042"/>
        <w:spacing w:after="0" w:line="282" w:lineRule="auto"/>
        <w:tabs>
          <w:tab w:leader="none" w:pos="118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Except as otherwise provided for herein, any notices to be given by either party to the other shall be affected by personal delivery in writing or by mail, registered or certified, postage prepaid, with return receipt requested. Mailed notices shall be addressed as follows:</w:t>
      </w:r>
    </w:p>
    <w:p>
      <w:pPr>
        <w:spacing w:after="0" w:line="378"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(a) If to Company:</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Build-A-Bear Workshop, Inc.</w:t>
      </w:r>
    </w:p>
    <w:p>
      <w:pPr>
        <w:ind w:left="1320"/>
        <w:spacing w:after="0" w:line="181" w:lineRule="auto"/>
        <w:rPr>
          <w:sz w:val="20"/>
          <w:szCs w:val="20"/>
          <w:color w:val="auto"/>
        </w:rPr>
      </w:pPr>
      <w:r>
        <w:rPr>
          <w:rFonts w:ascii="Times New Roman" w:cs="Times New Roman" w:eastAsia="Times New Roman" w:hAnsi="Times New Roman"/>
          <w:sz w:val="16"/>
          <w:szCs w:val="16"/>
          <w:color w:val="auto"/>
        </w:rPr>
        <w:t>415 South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Suite 200</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St. Louis, MO 63103</w:t>
      </w:r>
    </w:p>
    <w:p>
      <w:pPr>
        <w:spacing w:after="0" w:line="20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With copy to:</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Yevgeny Fundler</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Chief Legal Officer &amp; Secretary</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Build-A-Bear Workshop, Inc.</w:t>
      </w:r>
    </w:p>
    <w:p>
      <w:pPr>
        <w:ind w:left="1320"/>
        <w:spacing w:after="0" w:line="181" w:lineRule="auto"/>
        <w:rPr>
          <w:sz w:val="20"/>
          <w:szCs w:val="20"/>
          <w:color w:val="auto"/>
        </w:rPr>
      </w:pPr>
      <w:r>
        <w:rPr>
          <w:rFonts w:ascii="Times New Roman" w:cs="Times New Roman" w:eastAsia="Times New Roman" w:hAnsi="Times New Roman"/>
          <w:sz w:val="16"/>
          <w:szCs w:val="16"/>
          <w:color w:val="auto"/>
        </w:rPr>
        <w:t>415 South 18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Street, Suite 200</w:t>
      </w:r>
    </w:p>
    <w:p>
      <w:pPr>
        <w:spacing w:after="0" w:line="1"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St. Louis, MO 63103</w:t>
      </w:r>
    </w:p>
    <w:p>
      <w:pPr>
        <w:spacing w:after="0" w:line="20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(b) If to Employee:</w:t>
      </w:r>
    </w:p>
    <w:p>
      <w:pPr>
        <w:spacing w:after="0" w:line="225"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Voin Todorovic, at the address shown on the records of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377190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580" w:right="339" w:bottom="1440" w:gutter="0" w:footer="0" w:header="0"/>
        </w:sectPr>
      </w:pPr>
    </w:p>
    <w:bookmarkStart w:id="12" w:name="page13"/>
    <w:bookmarkEnd w:id="12"/>
    <w:p>
      <w:pPr>
        <w:jc w:val="both"/>
        <w:ind w:firstLine="1304"/>
        <w:spacing w:after="0" w:line="254" w:lineRule="auto"/>
        <w:tabs>
          <w:tab w:leader="none" w:pos="156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Arbitration</w:t>
      </w:r>
      <w:r>
        <w:rPr>
          <w:rFonts w:ascii="Times New Roman" w:cs="Times New Roman" w:eastAsia="Times New Roman" w:hAnsi="Times New Roman"/>
          <w:sz w:val="18"/>
          <w:szCs w:val="18"/>
          <w:color w:val="auto"/>
        </w:rPr>
        <w:t>. Any controversy or claim arising out of, or relating to this Agreement, the breach thereof, or Employee’s employment by Company, shall, at Company’s sole option, be settled by binding arbitration in the County of St. Louis in accordance with the employment rules then in force of the American Arbitration Association, and judgment upon the award rendered may be entered and enforced in any court having jurisdiction thereof. The controversies or claims subject to arbitration at Company’s option under this Agreement include, without limitation, those arising under Title VII of the Civil Rights Act of 1964, 42 U.S.C. Section 1981, the Age Discrimination in Employment Act, the Americans with Disabilities Act, the Family and Medical Leave Act, the Worker Adjustment and Retraining Notification Act, the Missouri Human Rights Act, local laws governing employment, and the statutory and/or common law of contract and tort. In the event Employee commences any action in court which Company has the right to submit to binding arbitration, Company shall have sixty (60) days from the date of service of a summons and complaint upon Company to direct in writing that all or any part of the dispute be arbitrated. Any remedy available in any court action shall also be available in arbitration.</w:t>
      </w:r>
    </w:p>
    <w:p>
      <w:pPr>
        <w:spacing w:after="0" w:line="188" w:lineRule="exact"/>
        <w:rPr>
          <w:rFonts w:ascii="Times New Roman" w:cs="Times New Roman" w:eastAsia="Times New Roman" w:hAnsi="Times New Roman"/>
          <w:sz w:val="18"/>
          <w:szCs w:val="18"/>
          <w:color w:val="auto"/>
        </w:rPr>
      </w:pPr>
    </w:p>
    <w:p>
      <w:pPr>
        <w:jc w:val="both"/>
        <w:ind w:firstLine="1304"/>
        <w:spacing w:after="0" w:line="270" w:lineRule="auto"/>
        <w:tabs>
          <w:tab w:leader="none" w:pos="1579"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Excise Taxes</w:t>
      </w:r>
      <w:r>
        <w:rPr>
          <w:rFonts w:ascii="Times New Roman" w:cs="Times New Roman" w:eastAsia="Times New Roman" w:hAnsi="Times New Roman"/>
          <w:sz w:val="17"/>
          <w:szCs w:val="17"/>
          <w:color w:val="auto"/>
        </w:rPr>
        <w:t>. Anything in this Agreement to the contrary notwithstanding and except as set forth below, in the event it shall be determined that any payment, benefit, vesting or distribution to or for the benefit of Employee (whether paid or payable or distributed or distributable pursuant to the terms of this Agreement or otherwise) (a “Payment”) would but for this Section 20 be subject to the excise tax imposed by Section 4999 of the Internal Revenue Code of 1986, as amended (the “Code”), or any comparable successor provisions (the “Excise Tax”), then the Payments shall be either</w:t>
      </w:r>
    </w:p>
    <w:p>
      <w:pPr>
        <w:spacing w:after="0" w:line="2" w:lineRule="exact"/>
        <w:rPr>
          <w:rFonts w:ascii="Times New Roman" w:cs="Times New Roman" w:eastAsia="Times New Roman" w:hAnsi="Times New Roman"/>
          <w:sz w:val="17"/>
          <w:szCs w:val="17"/>
          <w:color w:val="auto"/>
        </w:rPr>
      </w:pPr>
    </w:p>
    <w:p>
      <w:pPr>
        <w:jc w:val="both"/>
        <w:ind w:firstLine="8"/>
        <w:spacing w:after="0" w:line="251" w:lineRule="auto"/>
        <w:tabs>
          <w:tab w:leader="none" w:pos="22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to Employee in full, or (ii) provided to Employee as to such lesser extent which would result in no portion of such Payments being subject to the Excise Tax, whichever of the foregoing amounts, when taking into account applicable income and employment taxes, the Excise Tax, and any other applicable taxes, results in the receipt by Employee on an after-tax basis, of the greatest amount of Payments, notwithstanding that all or some portion of such Payments may be subject to the Excise Tax. Any determination required under this Section 20 shall be made in writing in good faith by the Company's independent certified public accountants, appointed prior to any change in ownership (as defined under Code Section 280G(b)(2), and/or tax counsel selected by such accountants (the “Accounting Firm”) in accordance with the principles of Section 280G of the Code. In the event of a reduction of Payments hereunder, the Payments shall be reduced as follows: (i) first from cash payments which are included in full as parachute payments, (ii) second from equity awards which are included in full as parachute payments, (iii) third from cash payments which are partially included as parachute payments, and (iv) fourth from equity awards that are partially included as parachute payments. In applying these principles, any reduction or elimination of the Payments shall be made in a manner consistent with the requirements of Code Section 409A and where two economically equivalent amounts are subject to reduction but payable at different times, such amounts shall be reduced on a pro rata basis but not below zero. For purposes of making the calculations required by this Section 20, the Accounting Firm may make reasonable assumptions and approximations concerning applicable taxes and may rely on reasonable, good faith interpretations concerning the application of the Code, and other applicable legal authority. The Company and Employee shall furnish to the Accounting Firm such information and documents as the Accounting Firm may reasonably request in order to make a determination under this Section 20. All fees and expenses of the Accounting Firm shall be borne solely by the Company.</w:t>
      </w:r>
    </w:p>
    <w:p>
      <w:pPr>
        <w:spacing w:after="0" w:line="19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notwithstanding any reduction described in this Section 20, the Internal Revenue Service (the “IRS”) determines that Employee is liable for the Excise Tax as a result of the receipt of the Payments as described above, then Employee shall be obligated to pay back to the Company, within thirty (30) days after a final IRS determination or in the event that Employee challenges the final IRS determination, a final judicial determination, a portion of the Payments equal to the “Repayment Amount.” The Repayment Amount with respect to the Payments shall be the smallest such amount, if any, as shall be required to be paid to the Company so that Employee's net after-tax proceeds with respect to the Payments (after taking into account the payment of the Excise Tax and all other applicable taxes imposed on such payment) shall be maximized. The Repayment Amount with respect to the Payments shall be zero if a Repayment Amount of more than zero would not result in Employee’s net after-tax proceeds with respect to the Payments being maximized. If the Excise Tax is not eliminated pursuant to this paragraph, Employee shall pay the Excise Tax.</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 of this Section 20, if (i) there is a reduction in the Payments as described in this Section 20, (ii) the IRS later determines that Employee is liable for the Excise Tax, the payment of which would result in the maximization of Employee’s net after-tax proceeds (calculated as if Employee’s Payments had not previously been reduced), and (iii) Employee pays the Excise Tax, then the Company shall pay to Employee those Payments which were reduced pursuant to this subsection as soon as administratively possible after Employee pays the Excise Tax so that Employee’s net after-tax proceeds with respect to the Payments are maximized.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3" w:name="page14"/>
    <w:bookmarkEnd w:id="13"/>
    <w:p>
      <w:pPr>
        <w:jc w:val="both"/>
        <w:spacing w:after="0" w:line="266" w:lineRule="auto"/>
        <w:rPr>
          <w:sz w:val="20"/>
          <w:szCs w:val="20"/>
          <w:color w:val="auto"/>
        </w:rPr>
      </w:pPr>
      <w:r>
        <w:rPr>
          <w:rFonts w:ascii="Times New Roman" w:cs="Times New Roman" w:eastAsia="Times New Roman" w:hAnsi="Times New Roman"/>
          <w:sz w:val="18"/>
          <w:szCs w:val="18"/>
          <w:color w:val="auto"/>
        </w:rPr>
        <w:t>For the avoidance of doubt, Employee acknowledges she is solely responsible for the payment of any Excise Tax and that the Company will not reimburse or otherwise indemnify her for such amount. Any reimbursements or repayments provided under this subsection shall be made strictly in accordance with Section 409A of the Code, including Treasury Regulation 1.409A-3(i)(1)(v).</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Notwithstanding anything in this Agreement to the contrary, if any payments or benefits due to Employee hereunder would cause the application of an accelerated or additional tax under Section 409A of the Code (“Section 409A”), such payments or benefits shall be restructured in a manner which does not cause such an accelerated or additional tax. Without limiting the foregoing and notwithstanding anything contained herein to the contrary, to the extent required in order to avoid accelerated taxation and/or tax penalties under Section 409A, amounts that would otherwise be payable and benefits that would otherwise be provided pursuant to this Agreement during the six-month period immediately following Employee’s separation from service shall instead be paid on the first (1st) business day after the date that is six (6) months following Employee’s date of termination (or death, if earlier). In the event that Employee receives reduced payments and benefits as a result of the application of this paragraph, reduction shall be made from payments and benefits which are determined not to be nonqualified deferred compensation for purposes of Section 409A of the Code first, and then shall be made (to the extent necessary) out of payments and benefits which are subject to Section 409A of the Code and which are due at the latest future date, to the extent such reduction would not trigger adverse tax consequences under Section 409A of the Code.</w:t>
      </w:r>
    </w:p>
    <w:p>
      <w:pPr>
        <w:spacing w:after="0" w:line="194" w:lineRule="exact"/>
        <w:rPr>
          <w:sz w:val="20"/>
          <w:szCs w:val="20"/>
          <w:color w:val="auto"/>
        </w:rPr>
      </w:pPr>
    </w:p>
    <w:p>
      <w:pPr>
        <w:ind w:firstLine="1304"/>
        <w:spacing w:after="0" w:line="282" w:lineRule="auto"/>
        <w:tabs>
          <w:tab w:leader="none" w:pos="156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are provided in this Agreement for convenience only and shall not be deemed to substantively alter the content of such sections.</w:t>
      </w:r>
    </w:p>
    <w:p>
      <w:pPr>
        <w:spacing w:after="0" w:line="15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auto"/>
        </w:rPr>
        <w:t>PLEASE NOTE</w:t>
      </w:r>
      <w:r>
        <w:rPr>
          <w:rFonts w:ascii="Times New Roman" w:cs="Times New Roman" w:eastAsia="Times New Roman" w:hAnsi="Times New Roman"/>
          <w:sz w:val="18"/>
          <w:szCs w:val="18"/>
          <w:b w:val="1"/>
          <w:bCs w:val="1"/>
          <w:color w:val="auto"/>
        </w:rPr>
        <w:t>: BY SIGNING THIS AGREEMENT, EMPLOYEE IS HEREBY CERTIFYING THAT EMPLOYEE (A) HAS RECEIVED A COPY OF THIS AGREEMENT FOR REVIEW AND STUDY BEFORE EXECUTING IT; (B) HAS READ THIS AGREEMENT CAREFULLY BEFORE SIGNING IT; (C) HAS HAD SUFFICIENT OPPORTUNITY BEFORE SIGNING THE AGREEMENT TO ASK ANY QUESTIONS EMPLOYEE HAS ABOUT THE AGREEMENT AND HAS RECEIVED SATISFACTORY ANSWERS TO ALL SUCH QUESTIONS; AND (D) UNDERSTANDS EMPLOYEE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RIGHTS AND OBLIGATIONS UNDER THE AGREEMENT.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IN WITNESS WHEREOF, the parties hereto have caused this Agreement to be executed as of June 11, 2026.</w:t>
      </w:r>
    </w:p>
    <w:p>
      <w:pPr>
        <w:spacing w:after="0" w:line="22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b w:val="1"/>
          <w:bCs w:val="1"/>
          <w:color w:val="auto"/>
        </w:rPr>
        <w:t>THIS AGREEMENT CONTAINS A BINDING ARBITRATION PROVISION WHICH MAY BE ENFORCED BY COMPANY.</w:t>
      </w:r>
    </w:p>
    <w:p>
      <w:pPr>
        <w:spacing w:after="0" w:line="200" w:lineRule="exact"/>
        <w:rPr>
          <w:sz w:val="20"/>
          <w:szCs w:val="20"/>
          <w:color w:val="auto"/>
        </w:rPr>
      </w:pPr>
    </w:p>
    <w:p>
      <w:pPr>
        <w:spacing w:after="0" w:line="24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u w:val="single" w:color="auto"/>
          <w:color w:val="auto"/>
        </w:rPr>
        <w:t>/s/ Voin Todorovic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Voin Todorovic</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BUILD-A-BEAR WORKSHOP,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Yevgeny Fundler</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Yevgeny Fundler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Legal Officer and Secretary</w:t>
      </w:r>
    </w:p>
    <w:p>
      <w:pPr>
        <w:sectPr>
          <w:pgSz w:w="11900" w:h="16838" w:orient="portrait"/>
          <w:cols w:equalWidth="0" w:num="1">
            <w:col w:w="11240"/>
          </w:cols>
          <w:pgMar w:left="320" w:top="580"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294005</wp:posOffset>
            </wp:positionV>
            <wp:extent cx="1028700" cy="10198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BUILD-A-BEAR WORKSHOP COMPLETES PLANNED CEO SUCCESSION</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i w:val="1"/>
          <w:iCs w:val="1"/>
          <w:color w:val="auto"/>
        </w:rPr>
        <w:t>Announces Leadership Updates to Support Continued Business Evolution</w:t>
      </w:r>
    </w:p>
    <w:p>
      <w:pPr>
        <w:spacing w:after="0" w:line="194" w:lineRule="exact"/>
        <w:rPr>
          <w:sz w:val="20"/>
          <w:szCs w:val="20"/>
          <w:color w:val="auto"/>
        </w:rPr>
      </w:pPr>
    </w:p>
    <w:p>
      <w:pPr>
        <w:ind w:right="20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ST. LOUIS, MO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June 12, 2026 </w:t>
      </w:r>
      <w:r>
        <w:rPr>
          <w:rFonts w:ascii="Times New Roman" w:cs="Times New Roman" w:eastAsia="Times New Roman" w:hAnsi="Times New Roman"/>
          <w:sz w:val="18"/>
          <w:szCs w:val="18"/>
          <w:color w:val="auto"/>
        </w:rPr>
        <w:t>— Build-A-Bear Workshop, Inc. (NYSE: BBW) today announced that Chris Hurt has assumed the role of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(CEO), effective June 11, 2026. The transition follows the planned succession of Sharon Price John, who led the company for 13 years and will remain on the Board of Directors.</w:t>
      </w:r>
    </w:p>
    <w:p>
      <w:pPr>
        <w:spacing w:after="0" w:line="175"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Hurt, a seasoned executive with more than 11 years of leadership experience at Build-A-Bear, most recently served as Chief Operations and Experience Officer. During his tenure, he played an integral role in strengthening Build-A-Bear’s global operations, enhancing guest experience, and advancing key strategic initiatives across the business.</w:t>
      </w:r>
    </w:p>
    <w:p>
      <w:pPr>
        <w:spacing w:after="0" w:line="17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“I am honored to step into the Chief Executive Officer role and build upon the company’s current position of strength,” said Hurt. “With a clear strategy focused on profitable growth, our powerful brand, and a talented global team, we are dedicated to continuing to advance the experiences, partnerships and opportunities for innovation to ensure Build-A-Bear remains a beloved and distinctive company for years to come.”</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“On behalf of the Board of Directors, we thank Sharon for her extraordinary leadership and lasting impact on the business,” said Craig Leavitt, Chairman of the Board. “We have tremendous confidence in Chris as he leads the company forward, building on proven strategies and unlocking the next chapter of value for this iconic brand.”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Leadership Updates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conjunction with the completion of the CEO transition, the company also announced updates to its executive leadership structure, effective immediately:</w:t>
      </w:r>
    </w:p>
    <w:p>
      <w:pPr>
        <w:spacing w:after="0" w:line="221" w:lineRule="exact"/>
        <w:rPr>
          <w:sz w:val="20"/>
          <w:szCs w:val="20"/>
          <w:color w:val="auto"/>
        </w:rPr>
      </w:pPr>
    </w:p>
    <w:p>
      <w:pPr>
        <w:ind w:left="660" w:right="460" w:hanging="328"/>
        <w:spacing w:after="0" w:line="28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Voin Todorovic</w:t>
      </w:r>
      <w:r>
        <w:rPr>
          <w:rFonts w:ascii="Times New Roman" w:cs="Times New Roman" w:eastAsia="Times New Roman" w:hAnsi="Times New Roman"/>
          <w:sz w:val="18"/>
          <w:szCs w:val="18"/>
          <w:color w:val="auto"/>
        </w:rPr>
        <w:t>, current Chief Financial Officer, has also assumed the role of Chief Administrative Officer, expanding his responsibilities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 enterprise-wide administrative oversight in addition to financial leadership.</w:t>
      </w:r>
    </w:p>
    <w:p>
      <w:pPr>
        <w:spacing w:after="0" w:line="154"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Dave Henderson</w:t>
      </w:r>
      <w:r>
        <w:rPr>
          <w:rFonts w:ascii="Times New Roman" w:cs="Times New Roman" w:eastAsia="Times New Roman" w:hAnsi="Times New Roman"/>
          <w:sz w:val="18"/>
          <w:szCs w:val="18"/>
          <w:color w:val="auto"/>
        </w:rPr>
        <w:t>, previously Chief Revenue Officer, has been appointed Chief Growth Officer, reflecting an expanded focus on driving long-term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growth, revenue diversification, and strategic expansion initiatives.</w:t>
      </w:r>
    </w:p>
    <w:p>
      <w:pPr>
        <w:spacing w:after="0" w:line="15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These leadership updates further align the organization around its evolved strategic initiatives and key business priorities, including disciplined financial management, operational efficiency, and accelerating growth across channels and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line="207" w:lineRule="exact"/>
        <w:rPr>
          <w:sz w:val="20"/>
          <w:szCs w:val="20"/>
          <w:color w:val="auto"/>
        </w:rPr>
      </w:pPr>
      <w:r>
        <w:rPr>
          <w:rFonts w:ascii="Times New Roman" w:cs="Times New Roman" w:eastAsia="Times New Roman" w:hAnsi="Times New Roman"/>
          <w:sz w:val="18"/>
          <w:szCs w:val="18"/>
          <w:b w:val="1"/>
          <w:bCs w:val="1"/>
          <w:color w:val="auto"/>
        </w:rPr>
        <w:t>About Build</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Bear Workshop, Inc.</w:t>
      </w:r>
    </w:p>
    <w:p>
      <w:pPr>
        <w:spacing w:after="0" w:line="225" w:lineRule="exact"/>
        <w:rPr>
          <w:sz w:val="20"/>
          <w:szCs w:val="20"/>
          <w:color w:val="auto"/>
        </w:rPr>
      </w:pPr>
    </w:p>
    <w:p>
      <w:pPr>
        <w:ind w:right="180"/>
        <w:spacing w:after="0" w:line="236" w:lineRule="exact"/>
        <w:rPr>
          <w:sz w:val="20"/>
          <w:szCs w:val="20"/>
          <w:color w:val="auto"/>
        </w:rPr>
      </w:pPr>
      <w:r>
        <w:rPr>
          <w:rFonts w:ascii="Times New Roman" w:cs="Times New Roman" w:eastAsia="Times New Roman" w:hAnsi="Times New Roman"/>
          <w:sz w:val="18"/>
          <w:szCs w:val="18"/>
          <w:color w:val="auto"/>
        </w:rPr>
        <w:t>Founded in 1997,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 is a leading global retailtainment brand on a mission to add a little more heart to life. At Build-A-Bear, guests are invited to create personalized furry friends through a unique stuffing, dressing, accessorizing and naming process, accentuated by a memorable "heart ceremony" that creates moments of connection for people of all ages.</w:t>
      </w:r>
    </w:p>
    <w:p>
      <w:pPr>
        <w:spacing w:after="0" w:line="158" w:lineRule="exact"/>
        <w:rPr>
          <w:sz w:val="20"/>
          <w:szCs w:val="20"/>
          <w:color w:val="auto"/>
        </w:rPr>
      </w:pPr>
    </w:p>
    <w:p>
      <w:pPr>
        <w:spacing w:after="0" w:line="231" w:lineRule="exact"/>
        <w:rPr>
          <w:sz w:val="20"/>
          <w:szCs w:val="20"/>
          <w:color w:val="auto"/>
        </w:rPr>
      </w:pPr>
      <w:r>
        <w:rPr>
          <w:rFonts w:ascii="Times New Roman" w:cs="Times New Roman" w:eastAsia="Times New Roman" w:hAnsi="Times New Roman"/>
          <w:sz w:val="18"/>
          <w:szCs w:val="18"/>
          <w:color w:val="auto"/>
        </w:rPr>
        <w:t>Over the years,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 has grown into a multi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generational phenomenon, positioned at the intersection of pop</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culture trends. Beyond its signature retail experience, the brand also offers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stuffed plush, gifting, partnerships with best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class licensed and collectible characters, and original storytelling through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 Entertainment, LLC.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Bear’s current brand platform and message, “The Stuff You Love,” crosses ages and cultures while celebrating nearly 30 years of helping people mark life’s meaningful moments.</w:t>
      </w:r>
    </w:p>
    <w:p>
      <w:pPr>
        <w:spacing w:after="0" w:line="159" w:lineRule="exact"/>
        <w:rPr>
          <w:sz w:val="20"/>
          <w:szCs w:val="20"/>
          <w:color w:val="auto"/>
        </w:rPr>
      </w:pPr>
    </w:p>
    <w:p>
      <w:pPr>
        <w:ind w:right="80"/>
        <w:spacing w:after="0" w:line="236" w:lineRule="exact"/>
        <w:rPr>
          <w:sz w:val="20"/>
          <w:szCs w:val="20"/>
          <w:color w:val="auto"/>
        </w:rPr>
      </w:pPr>
      <w:r>
        <w:rPr>
          <w:rFonts w:ascii="Times New Roman" w:cs="Times New Roman" w:eastAsia="Times New Roman" w:hAnsi="Times New Roman"/>
          <w:sz w:val="18"/>
          <w:szCs w:val="18"/>
          <w:color w:val="auto"/>
        </w:rPr>
        <w:t>Today,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 operates more than 650 company-owned, partner-operated and franchise experience locations across more than 30 countries, complemented by buildabear.com.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Bear Workshop, Inc. (NYSE: BBW) reported $529.8 million in total revenues for fiscal 2025, representing the company's 5th consecutive year of record results. Learn more at the Investor Relations section of buildabear.com.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This press release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or “continue,” the negative or any derivative of these terms and other comparable terminology. All the information concerning our future liquidity, future revenues, margins and other future financial performance and results, achievement of operating of financial plans or forecasts for future periods, sources and availability of credit and liquidity, future cash flows and cash needs, success and results of strategic initiatives and other future financial performance or financial position, as well as our assumptions underlying such information, constitute forward-looking information.</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These statements are based only on our current expectations and projections about future events.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captions entitled “Risk Factors” and “Forward-Looking Statements” in our Annual Report on Form 10-K filed with the Securities and Exchange Commission (“SEC”) on April 16, 2026, and other periodic reports filed with the SEC which are incorporated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40" w:right="359" w:bottom="1440" w:gutter="0" w:footer="0" w:header="0"/>
        </w:sectPr>
      </w:pPr>
    </w:p>
    <w:bookmarkStart w:id="16" w:name="page17"/>
    <w:bookmarkEnd w:id="16"/>
    <w:p>
      <w:pPr>
        <w:spacing w:after="0" w:line="256" w:lineRule="auto"/>
        <w:rPr>
          <w:sz w:val="20"/>
          <w:szCs w:val="20"/>
          <w:color w:val="auto"/>
        </w:rPr>
      </w:pPr>
      <w:r>
        <w:rPr>
          <w:rFonts w:ascii="Times New Roman" w:cs="Times New Roman" w:eastAsia="Times New Roman" w:hAnsi="Times New Roman"/>
          <w:sz w:val="18"/>
          <w:szCs w:val="18"/>
          <w:color w:val="auto"/>
        </w:rPr>
        <w:t>All our forward-looking statements are as of the date of this Press Release only. In each case, actual results may differ materially from such forward-looking information. We can give no assurance that such expectations or forward-looking statements will prove to be correct. An occurrence of or any material adverse change in one or more of the risk factors or other risks and uncertainties referred to in this Press Release or included in our other public disclosures or our other periodic reports or other documents or filings filed with or furnished to the SEC could materially and adversely affect our continuing operations and our future financial results, cash flows, available credit, prospects, and liquidity. Except as required by law, the Company does not undertake to publicly update or revise its forward-looking statements, whether as a result of new information, future events or otherwise.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brand names, product names, or trademarks belong to their respective holders.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 Schnierow, Vice President, Investor Relations &amp; Corporate Finance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garys@buildabear.com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pr@buildabear.com</w:t>
      </w:r>
    </w:p>
    <w:sectPr>
      <w:pgSz w:w="11900" w:h="16838" w:orient="portrait"/>
      <w:cols w:equalWidth="0" w:num="1">
        <w:col w:w="11020"/>
      </w:cols>
      <w:pgMar w:left="320" w:top="58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1."/>
      <w:numFmt w:val="decimal"/>
      <w:start w:val="1"/>
    </w:lvl>
    <w:lvl w:ilvl="1">
      <w:lvlJc w:val="left"/>
      <w:lvlText w:val="(%2)"/>
      <w:numFmt w:val="lowerLetter"/>
      <w:start w:val="1"/>
    </w:lvl>
  </w:abstractNum>
  <w:abstractNum w:abstractNumId="2">
    <w:nsid w:val="7FDCC233"/>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abstractNum>
  <w:abstractNum w:abstractNumId="3">
    <w:nsid w:val="1BEFD79F"/>
    <w:multiLevelType w:val="hybridMultilevel"/>
    <w:lvl w:ilvl="0">
      <w:lvlJc w:val="left"/>
      <w:lvlText w:val="%1."/>
      <w:numFmt w:val="decimal"/>
      <w:start w:val="2"/>
    </w:lvl>
    <w:lvl w:ilvl="1">
      <w:lvlJc w:val="left"/>
      <w:lvlText w:val="%2."/>
      <w:numFmt w:val="decimal"/>
      <w:start w:val="3"/>
    </w:lvl>
    <w:lvl w:ilvl="2">
      <w:lvlJc w:val="left"/>
      <w:lvlText w:val="(%3)"/>
      <w:numFmt w:val="lowerLetter"/>
      <w:start w:val="1"/>
    </w:lvl>
  </w:abstractNum>
  <w:abstractNum w:abstractNumId="4">
    <w:nsid w:val="41A7C4C9"/>
    <w:multiLevelType w:val="hybridMultilevel"/>
    <w:lvl w:ilvl="0">
      <w:lvlJc w:val="left"/>
      <w:lvlText w:val="%1"/>
      <w:numFmt w:val="decimal"/>
      <w:start w:val="1"/>
    </w:lvl>
    <w:lvl w:ilvl="1">
      <w:lvlJc w:val="left"/>
      <w:lvlText w:val="(%2)"/>
      <w:numFmt w:val="lowerLetter"/>
      <w:start w:val="3"/>
    </w:lvl>
  </w:abstractNum>
  <w:abstractNum w:abstractNumId="5">
    <w:nsid w:val="6B68079A"/>
    <w:multiLevelType w:val="hybridMultilevel"/>
    <w:lvl w:ilvl="0">
      <w:lvlJc w:val="left"/>
      <w:lvlText w:val="%1."/>
      <w:numFmt w:val="decimal"/>
      <w:start w:val="4"/>
    </w:lvl>
    <w:lvl w:ilvl="1">
      <w:lvlJc w:val="left"/>
      <w:lvlText w:val="%2"/>
      <w:numFmt w:val="lowerLetter"/>
      <w:start w:val="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decimal"/>
      <w:start w:val="1"/>
    </w:lvl>
    <w:lvl w:ilvl="1">
      <w:lvlJc w:val="left"/>
      <w:lvlText w:val="(%2)"/>
      <w:numFmt w:val="lowerLetter"/>
      <w:start w:val="3"/>
    </w:lvl>
  </w:abstractNum>
  <w:abstractNum w:abstractNumId="8">
    <w:nsid w:val="519B500D"/>
    <w:multiLevelType w:val="hybridMultilevel"/>
    <w:lvl w:ilvl="0">
      <w:lvlJc w:val="left"/>
      <w:lvlText w:val="(%1)"/>
      <w:numFmt w:val="decimal"/>
      <w:start w:val="30"/>
    </w:lvl>
    <w:lvl w:ilvl="1">
      <w:lvlJc w:val="left"/>
      <w:lvlText w:val="(%2)"/>
      <w:numFmt w:val="lowerLetter"/>
      <w:start w:val="4"/>
    </w:lvl>
  </w:abstractNum>
  <w:abstractNum w:abstractNumId="9">
    <w:nsid w:val="431BD7B7"/>
    <w:multiLevelType w:val="hybridMultilevel"/>
    <w:lvl w:ilvl="0">
      <w:lvlJc w:val="left"/>
      <w:lvlText w:val="(%1)"/>
      <w:numFmt w:val="decimal"/>
      <w:start w:val="30"/>
    </w:lvl>
    <w:lvl w:ilvl="1">
      <w:lvlJc w:val="left"/>
      <w:lvlText w:val="%2"/>
      <w:numFmt w:val="lowerLetter"/>
      <w:start w:val="1"/>
    </w:lvl>
  </w:abstractNum>
  <w:abstractNum w:abstractNumId="10">
    <w:nsid w:val="3F2DBA31"/>
    <w:multiLevelType w:val="hybridMultilevel"/>
    <w:lvl w:ilvl="0">
      <w:lvlJc w:val="left"/>
      <w:lvlText w:val="%1"/>
      <w:numFmt w:val="upperLetter"/>
      <w:start w:val="1"/>
    </w:lvl>
    <w:lvl w:ilvl="1">
      <w:lvlJc w:val="left"/>
      <w:lvlText w:val="(%2)"/>
      <w:numFmt w:val="lowerLetter"/>
      <w:start w:val="1"/>
    </w:lvl>
  </w:abstractNum>
  <w:abstractNum w:abstractNumId="11">
    <w:nsid w:val="7C83E458"/>
    <w:multiLevelType w:val="hybridMultilevel"/>
    <w:lvl w:ilvl="0">
      <w:lvlJc w:val="left"/>
      <w:lvlText w:val="(%1)"/>
      <w:numFmt w:val="upperLetter"/>
      <w:start w:val="1"/>
    </w:lvl>
    <w:lvl w:ilvl="1">
      <w:lvlJc w:val="left"/>
      <w:lvlText w:val="%2"/>
      <w:numFmt w:val="lowerLetter"/>
      <w:start w:val="1"/>
    </w:lvl>
  </w:abstractNum>
  <w:abstractNum w:abstractNumId="12">
    <w:nsid w:val="257130A3"/>
    <w:multiLevelType w:val="hybridMultilevel"/>
    <w:lvl w:ilvl="0">
      <w:lvlJc w:val="left"/>
      <w:lvlText w:val="(%1)"/>
      <w:numFmt w:val="lowerLetter"/>
      <w:start w:val="3"/>
    </w:lvl>
  </w:abstractNum>
  <w:abstractNum w:abstractNumId="13">
    <w:nsid w:val="62BBD95A"/>
    <w:multiLevelType w:val="hybridMultilevel"/>
    <w:lvl w:ilvl="0">
      <w:lvlJc w:val="left"/>
      <w:lvlText w:val="%1"/>
      <w:numFmt w:val="lowerLetter"/>
      <w:start w:val="1"/>
    </w:lvl>
    <w:lvl w:ilvl="1">
      <w:lvlJc w:val="left"/>
      <w:lvlText w:val="%2."/>
      <w:numFmt w:val="decimal"/>
      <w:start w:val="5"/>
    </w:lvl>
    <w:lvl w:ilvl="2">
      <w:lvlJc w:val="left"/>
      <w:lvlText w:val="%3"/>
      <w:numFmt w:val="decimal"/>
      <w:start w:val="1"/>
    </w:lvl>
  </w:abstractNum>
  <w:abstractNum w:abstractNumId="14">
    <w:nsid w:val="436C6125"/>
    <w:multiLevelType w:val="hybridMultilevel"/>
    <w:lvl w:ilvl="0">
      <w:lvlJc w:val="left"/>
      <w:lvlText w:val="(%1)"/>
      <w:numFmt w:val="lowerLetter"/>
      <w:start w:val="1"/>
    </w:lvl>
    <w:lvl w:ilvl="1">
      <w:lvlJc w:val="left"/>
      <w:lvlText w:val="%2"/>
      <w:numFmt w:val="decimal"/>
      <w:start w:val="1"/>
    </w:lvl>
    <w:lvl w:ilvl="2">
      <w:lvlJc w:val="left"/>
      <w:lvlText w:val="(%3)"/>
      <w:numFmt w:val="decimal"/>
      <w:start w:val="1"/>
    </w:lvl>
  </w:abstractNum>
  <w:abstractNum w:abstractNumId="15">
    <w:nsid w:val="628C895D"/>
    <w:multiLevelType w:val="hybridMultilevel"/>
    <w:lvl w:ilvl="0">
      <w:lvlJc w:val="left"/>
      <w:lvlText w:val="(%1)"/>
      <w:numFmt w:val="lowerLetter"/>
      <w:start w:val="3"/>
    </w:lvl>
  </w:abstractNum>
  <w:abstractNum w:abstractNumId="16">
    <w:nsid w:val="333AB105"/>
    <w:multiLevelType w:val="hybridMultilevel"/>
    <w:lvl w:ilvl="0">
      <w:lvlJc w:val="left"/>
      <w:lvlText w:val="%1."/>
      <w:numFmt w:val="decimal"/>
      <w:start w:val="6"/>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decimal"/>
      <w:start w:val="7"/>
    </w:lvl>
    <w:lvl w:ilvl="1">
      <w:lvlJc w:val="left"/>
      <w:lvlText w:val="%2."/>
      <w:numFmt w:val="decimal"/>
      <w:start w:val="8"/>
    </w:lvl>
    <w:lvl w:ilvl="2">
      <w:lvlJc w:val="left"/>
      <w:lvlText w:val="(%3)"/>
      <w:numFmt w:val="lowerLetter"/>
      <w:start w:val="1"/>
    </w:lvl>
  </w:abstractNum>
  <w:abstractNum w:abstractNumId="19">
    <w:nsid w:val="2D1D5AE9"/>
    <w:multiLevelType w:val="hybridMultilevel"/>
    <w:lvl w:ilvl="0">
      <w:lvlJc w:val="left"/>
      <w:lvlText w:val="(%1)"/>
      <w:numFmt w:val="lowerLetter"/>
      <w:start w:val="2"/>
    </w:lvl>
  </w:abstractNum>
  <w:abstractNum w:abstractNumId="20">
    <w:nsid w:val="6763845E"/>
    <w:multiLevelType w:val="hybridMultilevel"/>
    <w:lvl w:ilvl="0">
      <w:lvlJc w:val="left"/>
      <w:lvlText w:val="%1."/>
      <w:numFmt w:val="decimal"/>
      <w:start w:val="9"/>
    </w:lvl>
  </w:abstractNum>
  <w:abstractNum w:abstractNumId="21">
    <w:nsid w:val="75A2A8D4"/>
    <w:multiLevelType w:val="hybridMultilevel"/>
    <w:lvl w:ilvl="0">
      <w:lvlJc w:val="left"/>
      <w:lvlText w:val="%1."/>
      <w:numFmt w:val="decimal"/>
      <w:start w:val="14"/>
    </w:lvl>
  </w:abstractNum>
  <w:abstractNum w:abstractNumId="22">
    <w:nsid w:val="8EDBDAB"/>
    <w:multiLevelType w:val="hybridMultilevel"/>
    <w:lvl w:ilvl="0">
      <w:lvlJc w:val="left"/>
      <w:lvlText w:val="%1"/>
      <w:numFmt w:val="lowerRoman"/>
      <w:start w:val="1"/>
    </w:lvl>
    <w:lvl w:ilvl="1">
      <w:lvlJc w:val="left"/>
      <w:lvlText w:val="%2."/>
      <w:numFmt w:val="decimal"/>
      <w:start w:val="19"/>
    </w:lvl>
  </w:abstractNum>
  <w:abstractNum w:abstractNumId="23">
    <w:nsid w:val="79838CB2"/>
    <w:multiLevelType w:val="hybridMultilevel"/>
    <w:lvl w:ilvl="0">
      <w:lvlJc w:val="left"/>
      <w:lvlText w:val="(%1)"/>
      <w:numFmt w:val="lowerRoman"/>
      <w:start w:val="1"/>
    </w:lvl>
    <w:lvl w:ilvl="1">
      <w:lvlJc w:val="left"/>
      <w:lvlText w:val="%2"/>
      <w:numFmt w:val="decimal"/>
      <w:start w:val="1"/>
    </w:lvl>
  </w:abstractNum>
  <w:abstractNum w:abstractNumId="24">
    <w:nsid w:val="4353D0CD"/>
    <w:multiLevelType w:val="hybridMultilevel"/>
    <w:lvl w:ilvl="0">
      <w:lvlJc w:val="left"/>
      <w:lvlText w:val="%1."/>
      <w:numFmt w:val="decimal"/>
      <w:start w:val="21"/>
    </w:lvl>
  </w:abstractNum>
  <w:abstractNum w:abstractNumId="25">
    <w:nsid w:val="B03E0C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2026-06-12T06:02:32Z</dcterms:created>
  <dcterms:modified xsi:type="dcterms:W3CDTF">2026-06-12T06:02:32Z</dcterms:modified>
</cp:coreProperties>
</file>