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9, 2025, there were 13,208,592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w:t>
            </w:r>
          </w:p>
        </w:tc>
        <w:tc>
          <w:tcPr>
            <w:tcW w:w="70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shd w:val="clear" w:color="auto" w:fill="CCEEFF"/>
              </w:rPr>
              <w:t xml:space="preserve">1A.Risk </w:t>
            </w:r>
            <w:r>
              <w:rPr>
                <w:rFonts w:ascii="Times New Roman" w:cs="Times New Roman" w:eastAsia="Times New Roman" w:hAnsi="Times New Roman"/>
                <w:sz w:val="18"/>
                <w:szCs w:val="18"/>
                <w:color w:val="0000EE"/>
              </w:rPr>
              <w:t>Factors</w:t>
            </w:r>
          </w:p>
        </w:tc>
        <w:tc>
          <w:tcPr>
            <w:tcW w:w="3680" w:type="dxa"/>
            <w:vAlign w:val="bottom"/>
            <w:gridSpan w:val="6"/>
            <w:vMerge w:val="restart"/>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gridSpan w:val="6"/>
            <w:vMerge w:val="continue"/>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60" w:type="dxa"/>
            <w:vAlign w:val="bottom"/>
            <w:tcBorders>
              <w:top w:val="single" w:sz="8" w:color="0000EE"/>
            </w:tcBorders>
            <w:gridSpan w:val="5"/>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May 4,</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44,342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38,233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72,299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64,024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13,800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12,156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12,046</w:t>
            </w: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92,699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72,783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59,260</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53,897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308,303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289,956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265,276</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16,538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24,273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19,552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26,507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14,851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16,620</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85,351</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78,673</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72,957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56,906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1,356</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May 3, 2025, February 1, 2025 and May 4, 2024</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13,174,014, 13,257,131, and 13,914,176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61,602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64,065</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(11,295)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(12,153)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98,243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89,516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76,290</w:t>
            </w:r>
          </w:p>
        </w:tc>
      </w:tr>
      <w:tr>
        <w:trPr>
          <w:trHeight w:val="209"/>
        </w:trPr>
        <w:tc>
          <w:tcPr>
            <w:tcW w:w="6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148,682</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308,303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289,956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265,276</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60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119,589</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107,868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4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49,415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4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47,562</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13,080,301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13,925,957</w:t>
            </w:r>
          </w:p>
        </w:tc>
        <w:tc>
          <w:tcPr>
            <w:tcW w:w="0" w:type="dxa"/>
            <w:vAlign w:val="bottom"/>
          </w:tcPr>
          <w:p>
            <w:pPr>
              <w:spacing w:after="0"/>
              <w:rPr>
                <w:sz w:val="1"/>
                <w:szCs w:val="1"/>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13,144,243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14,006,400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15,319</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(1,716)</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(2,430)</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common stock for employee equity awards, net of tax</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(9,198)</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(13,978)</w:t>
            </w: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Increase/(Decrease) in cash, cash equivalents, and restricted cash</w:t>
            </w:r>
          </w:p>
        </w:tc>
        <w:tc>
          <w:tcPr>
            <w:tcW w:w="4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44,342</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43,941</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44,342</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38,233</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712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1, 2025,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1, 2025, which were included in the Company’s Annual Report on Form 10-K filed with the SEC on April 17, 2025.</w:t>
      </w:r>
    </w:p>
    <w:p>
      <w:pPr>
        <w:spacing w:after="0" w:line="19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February 1, 2025.</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direct-to-consumer ("DTC")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93% of consolidated revenue for the first quarter of fiscal 2025.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consumers.</w:t>
      </w:r>
    </w:p>
    <w:p>
      <w:pPr>
        <w:spacing w:after="0" w:line="18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consumers’ redemption pattern using an estimated breakage rate based on historical experience. Subsequent to stores reopening following shutdowns caused by the pandemic, the Company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at other times if significant changes in consumer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2024 would have resulted in a change in breakage revenue of $1.1 million.</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U.K. with certificates historically expiring in four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licensing the Company’s intellectual properties for third-party use and wholesale sales of merchandise, including supplies and fixtures.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 Revenue for wholesale sales is recognized when control of the merchandise or fixtures is transferred to the customer, which generally occurs upon delivery to the customer.</w:t>
      </w:r>
    </w:p>
    <w:p>
      <w:pPr>
        <w:spacing w:after="0" w:line="18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weeks ended May 3, 2025 are not material to the financial statements.</w:t>
      </w:r>
    </w:p>
    <w:p>
      <w:pPr>
        <w:spacing w:after="0" w:line="183" w:lineRule="exact"/>
        <w:rPr>
          <w:sz w:val="20"/>
          <w:szCs w:val="20"/>
          <w:color w:val="auto"/>
        </w:rPr>
      </w:pPr>
    </w:p>
    <w:p>
      <w:pPr>
        <w:jc w:val="both"/>
        <w:ind w:right="400" w:firstLine="648"/>
        <w:spacing w:after="0" w:line="272" w:lineRule="auto"/>
        <w:rPr>
          <w:sz w:val="20"/>
          <w:szCs w:val="20"/>
          <w:color w:val="auto"/>
        </w:rPr>
      </w:pPr>
      <w:r>
        <w:rPr>
          <w:rFonts w:ascii="Times New Roman" w:cs="Times New Roman" w:eastAsia="Times New Roman" w:hAnsi="Times New Roman"/>
          <w:sz w:val="17"/>
          <w:szCs w:val="17"/>
          <w:color w:val="auto"/>
        </w:rPr>
        <w:t>The Company reserves for “expected” credit losses on financial instruments and other commitments to extend credit rather than the “incurred loss” model. These expected credit losses for financial assets held at the reporting date are to be based on historical experience, current conditions and reasonable and supportable forecasts. For the thirteen weeks ended May 3, 2025 and May 4, 2024, the Company's accounts receivable are net</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of $7.0 million and $6.9 million, inclusive of the allowance for credit losses and the reserve for the UK's customs authority "HMRC" matter of $3.6 million and $3.7 million, respectively. See Note 12 for further discussion of the HMRC matter.</w:t>
      </w:r>
    </w:p>
    <w:p>
      <w:pPr>
        <w:sectPr>
          <w:pgSz w:w="11900" w:h="16838" w:orient="portrait"/>
          <w:cols w:equalWidth="0" w:num="1">
            <w:col w:w="11240"/>
          </w:cols>
          <w:pgMar w:left="320" w:top="121" w:right="339" w:bottom="362"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6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weeks ended May 3, 2025 and May 4, 2024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5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costs</w:t>
            </w:r>
          </w:p>
        </w:tc>
        <w:tc>
          <w:tcPr>
            <w:tcW w:w="2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3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740" w:hanging="47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weeks ended May 3, 2025 and May 4, 2024 (in thousands).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38"/>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4, 2024</w:t>
            </w: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As of May 3, 2025 and May 4, 2024, the weighted-average remaining operating lease term was 6.1 years and 4.8 years, respectively, and the weighted-average discount rate was 7.2% and 6.9%, respectively, for operating leases recognized on the Company's condensed consolidated balance sheets.</w:t>
      </w:r>
    </w:p>
    <w:p>
      <w:pPr>
        <w:spacing w:after="0" w:line="14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value of our operating lease asset was $92.7 million and $72.8 million as of May 3, 2025 and May 4, 2024, respectively. The increase was driven by the Company entering into leases for new stores as well as securing longer-term extensions for existing stores resulting in contracts with more favorable terms.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the thirteen weeks ended May 3, 2025 and the thirteen weeks ended May 4, 2024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24,228</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27,810</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11,464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9,217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35,562</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125,695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(26,231)</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99,464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(26,507)</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72,957</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3, 2025, the Company had additional executed leases that had not yet commenced with operating lease liabilities of $28.4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fiscal 2025 and fiscal 2026 with lease terms of two to twenty years.</w:t>
      </w:r>
    </w:p>
    <w:p>
      <w:pPr>
        <w:sectPr>
          <w:pgSz w:w="11900" w:h="16838" w:orient="portrait"/>
          <w:cols w:equalWidth="0" w:num="1">
            <w:col w:w="11220"/>
          </w:cols>
          <w:pgMar w:left="320" w:top="121" w:right="359" w:bottom="997"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97"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3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396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3,807</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6,468</w:t>
            </w:r>
          </w:p>
        </w:tc>
      </w:tr>
      <w:tr>
        <w:trPr>
          <w:trHeight w:val="20"/>
        </w:trPr>
        <w:tc>
          <w:tcPr>
            <w:tcW w:w="3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12,156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12,669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3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396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Entertainment production asset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39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6,074</w:t>
            </w:r>
          </w:p>
        </w:tc>
      </w:tr>
      <w:tr>
        <w:trPr>
          <w:trHeight w:val="20"/>
        </w:trPr>
        <w:tc>
          <w:tcPr>
            <w:tcW w:w="3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line="261"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asset includes the direct costs, production overhead and development costs in producing entertainment assets such as films or music.</w:t>
      </w:r>
    </w:p>
    <w:p>
      <w:pPr>
        <w:ind w:left="920" w:hanging="35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30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18,351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12,007</w:t>
            </w:r>
          </w:p>
        </w:tc>
      </w:tr>
      <w:tr>
        <w:trPr>
          <w:trHeight w:val="230"/>
        </w:trPr>
        <w:tc>
          <w:tcPr>
            <w:tcW w:w="4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2,921</w:t>
            </w: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3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4,891</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60" w:type="dxa"/>
            <w:vAlign w:val="bottom"/>
          </w:tcPr>
          <w:p>
            <w:pPr>
              <w:spacing w:after="0"/>
              <w:rPr>
                <w:sz w:val="19"/>
                <w:szCs w:val="19"/>
                <w:color w:val="auto"/>
              </w:rPr>
            </w:pPr>
          </w:p>
        </w:tc>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24,273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16,209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19,552</w:t>
            </w:r>
          </w:p>
        </w:tc>
      </w:tr>
      <w:tr>
        <w:trPr>
          <w:trHeight w:val="20"/>
        </w:trPr>
        <w:tc>
          <w:tcPr>
            <w:tcW w:w="46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40" w:right="3220" w:hanging="4979"/>
        <w:spacing w:after="0" w:line="532" w:lineRule="auto"/>
        <w:tabs>
          <w:tab w:leader="none" w:pos="9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Company’s stockholders approved the Restated 2020 Incentive Plan. The Restated 2020 Incentive Plan, which is administered by the Compensation and Human Capital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9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thirteen weeks ended May 3, 2025 and May 4, 2024, selling, general and administrative expense included stock-based compensation expense of $0.5 million and $0.4 million, respectively. As of May 3, 2025, there was $2.1 million of total unrecognized compensation expense related to unvested restricted stock awards which is expected to be recognized over a weighted-average period of 1.6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end of the thirteen weeks ended May 3, 2025, the Company had no outstanding stock options.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thirteen weeks ended May 3, 2025:</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February 1, 2025 (1)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97,538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25.21</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193,273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23.17</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1,244</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39.58</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(40,392)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23.12</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(11,572)</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and vested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(61,222)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5"/>
                <w:szCs w:val="25"/>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May 3, 2025 (1)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26.12</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121,118</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26.35</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Performance-based restricted stock outstanding, granted, and forfeited are presented at 100% of target.</w:t>
      </w:r>
    </w:p>
    <w:p>
      <w:pPr>
        <w:spacing w:after="0" w:line="225"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thirteen weeks ended May 3, 2025 and May 4, 2024 was $2.0 million and $1.7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May 3, 2025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0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 consolidated pre-tax income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36,309</w:t>
            </w:r>
          </w:p>
        </w:tc>
      </w:tr>
      <w:tr>
        <w:trPr>
          <w:trHeight w:val="230"/>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19,551</w:t>
            </w:r>
          </w:p>
        </w:tc>
      </w:tr>
      <w:tr>
        <w:trPr>
          <w:trHeight w:val="21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42,418</w:t>
            </w:r>
          </w:p>
        </w:tc>
      </w:tr>
      <w:tr>
        <w:trPr>
          <w:trHeight w:val="216"/>
        </w:trPr>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- 2026 consolidated, cumulative revenue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22,840</w:t>
            </w:r>
          </w:p>
        </w:tc>
      </w:tr>
      <w:tr>
        <w:trPr>
          <w:trHeight w:val="209"/>
        </w:trPr>
        <w:tc>
          <w:tcPr>
            <w:tcW w:w="74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May 3, 2025</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121,118</w:t>
            </w:r>
          </w:p>
        </w:tc>
        <w:tc>
          <w:tcPr>
            <w:tcW w:w="8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22.0% for the thirteen weeks ended May 3, 2025 compared to 23.8% for the thirteen weeks ended May 4, 2024. In the first quarter of fiscal 2025, the effective tax rate differed from the statutory rate of 21% primarily due to state income tax expense partially offset by the tax impact of equity awards vesting and the foreign-derived intangible income deduction. In the first quarter of fiscal 2024, the effective tax rate differed from the statutory rate of 21% primarily due to state income tax expense partially offset by the tax impact of equity awards vesting. In addition, in the first quarter of fiscal 2025 and 2024, the Company remains in a full valuation allowance in certain foreign jurisdictions.</w:t>
      </w:r>
    </w:p>
    <w:p>
      <w:pPr>
        <w:sectPr>
          <w:pgSz w:w="11900" w:h="16838" w:orient="portrait"/>
          <w:cols w:equalWidth="0" w:num="1">
            <w:col w:w="11200"/>
          </w:cols>
          <w:pgMar w:left="320" w:top="121" w:right="379" w:bottom="1440"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May 3, 2025 and May 4, 2024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thirteen weeks ended May 3, 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For the thirteen weeks ended May 4,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3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220" w:type="dxa"/>
            <w:vAlign w:val="bottom"/>
            <w:vMerge w:val="restart"/>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vMerge w:val="restart"/>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$ 61,987</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(12,554)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89,516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$ 139,082</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$ 66,330</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(12,082)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75,272</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129,662</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1,103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284</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(1,266)</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(3,701)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(7,591)</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(9,199)</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(2,891)</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(2,810)</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(2,810)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15,319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11,459</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11,459</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$ 61,602</w:t>
            </w:r>
          </w:p>
        </w:tc>
        <w:tc>
          <w:tcPr>
            <w:tcW w:w="2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 (11,295)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98,243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$ 148,682</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$ 64,065</w:t>
            </w:r>
          </w:p>
        </w:tc>
        <w:tc>
          <w:tcPr>
            <w:tcW w:w="12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(12,153)</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76,290</w:t>
            </w:r>
          </w:p>
        </w:tc>
        <w:tc>
          <w:tcPr>
            <w:tcW w:w="14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$ 128,341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May 3, 2025, the Company utilized $4.2 million in cash to repurchase 108,502 shares under its $100 million dollar stock repurchase program that was authorized by the Board of Directors on September 11, 2024. As of the end of the first quarter, there was $85.0 million available for future repurchases. For the thirteen weeks ended May 3, 2025, the Company's Board of Directors declared a $0.22 per share cash dividend that was paid on April 10, 2025, to shareholders of record as of March 27, 2025. The cash dividend paid totaled $2.9 million.</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May 4, 2024, the Company utilized $9.2 million in cash to repurchase 343,406 shares under the Company's previous $50.0 million stock repurchase program that was authorized by its Board of Directors on August 31, 2022. The Company's Board of Directors also declared a quarterly cash dividend of $0.20 per share that was paid on April 11, 2024, to all stockholders of record as of March 28,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May 3,</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22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13,080,301</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13,144,243</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1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9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weeks ended May 3, 2025, there were zero shares of common stock that were outstanding at the end of the period that were not included in the computation of diluted income per share due to their anti-dilutive effect. For the thirteen weeks ended May 4, 2024, there were 8,199 of common stock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May 3, 2025 and May 4, 2024 was comprised entirely of foreign currency translation. For the thirteen weeks ended May 3, 2025 and May 4, 2024, the Company had no reclassifications out of accumulated other comprehensive loss.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the Republic of Ireland and the U.K., including the Company’s e-commerce sites and temporary stores. The commercial segment includes the Company’s transactions with other businesses, mainly comprised of licensing the Company’s intellectual properties for third-party use and wholesale sales to our partner-operated stores.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May 3, 2025</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119,589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128,395</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80" w:type="dxa"/>
            <w:vAlign w:val="bottom"/>
            <w:shd w:val="clear" w:color="auto" w:fill="CCEEFF"/>
          </w:tcPr>
          <w:p>
            <w:pPr>
              <w:spacing w:after="0"/>
              <w:rPr>
                <w:sz w:val="18"/>
                <w:szCs w:val="18"/>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4,609</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72,986</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80" w:type="dxa"/>
            <w:vAlign w:val="bottom"/>
            <w:shd w:val="clear" w:color="auto" w:fill="CCEEFF"/>
          </w:tcPr>
          <w:p>
            <w:pPr>
              <w:spacing w:after="0"/>
              <w:rPr>
                <w:sz w:val="18"/>
                <w:szCs w:val="18"/>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38,538</w:t>
            </w:r>
          </w:p>
        </w:tc>
        <w:tc>
          <w:tcPr>
            <w:tcW w:w="80" w:type="dxa"/>
            <w:vAlign w:val="bottom"/>
          </w:tcPr>
          <w:p>
            <w:pPr>
              <w:spacing w:after="0"/>
              <w:rPr>
                <w:sz w:val="18"/>
                <w:szCs w:val="18"/>
                <w:color w:val="auto"/>
              </w:rPr>
            </w:pPr>
          </w:p>
        </w:tc>
      </w:tr>
      <w:tr>
        <w:trPr>
          <w:trHeight w:val="20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Overhead Expenses(1)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49"/>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3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Thirteen weeks ended May 4, 2024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107,868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114,730</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8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62,165</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8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31,199</w:t>
            </w: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Overhead Expenses(1)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8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8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Overhead expenses contain selling, general and administrative expenses not attributable to a segment.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assets, depreciation and amortization, and capital expenditures for the Company's segments, as well as for Corporate and support,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16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8"/>
        </w:trPr>
        <w:tc>
          <w:tcPr>
            <w:tcW w:w="19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Thirteen weeks ended</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 2025</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209,280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85,587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308,303</w:t>
            </w:r>
          </w:p>
        </w:tc>
      </w:tr>
      <w:tr>
        <w:trPr>
          <w:trHeight w:val="198"/>
        </w:trPr>
        <w:tc>
          <w:tcPr>
            <w:tcW w:w="1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2,734</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927</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1,354</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2,907</w:t>
            </w:r>
          </w:p>
        </w:tc>
      </w:tr>
      <w:tr>
        <w:trPr>
          <w:trHeight w:val="198"/>
        </w:trPr>
        <w:tc>
          <w:tcPr>
            <w:tcW w:w="1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Thirteen weeks ended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4, 2024</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185,505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69,446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265,276</w:t>
            </w:r>
          </w:p>
        </w:tc>
      </w:tr>
      <w:tr>
        <w:trPr>
          <w:trHeight w:val="198"/>
        </w:trPr>
        <w:tc>
          <w:tcPr>
            <w:tcW w:w="1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983</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3,658</w:t>
            </w:r>
          </w:p>
        </w:tc>
      </w:tr>
      <w:tr>
        <w:trPr>
          <w:trHeight w:val="234"/>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1,903</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2,430</w:t>
            </w:r>
          </w:p>
        </w:tc>
      </w:tr>
    </w:tbl>
    <w:p>
      <w:pPr>
        <w:spacing w:after="0" w:line="1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160" w:type="dxa"/>
            <w:vAlign w:val="bottom"/>
          </w:tcPr>
          <w:p>
            <w:pPr>
              <w:spacing w:after="0"/>
              <w:rPr>
                <w:sz w:val="20"/>
                <w:szCs w:val="20"/>
                <w:color w:val="auto"/>
              </w:rPr>
            </w:pPr>
          </w:p>
        </w:tc>
        <w:tc>
          <w:tcPr>
            <w:tcW w:w="1260" w:type="dxa"/>
            <w:vAlign w:val="bottom"/>
            <w:gridSpan w:val="2"/>
          </w:tcPr>
          <w:p>
            <w:pPr>
              <w:jc w:val="right"/>
              <w:ind w:right="4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180" w:type="dxa"/>
            <w:vAlign w:val="bottom"/>
          </w:tcPr>
          <w:p>
            <w:pPr>
              <w:spacing w:after="0"/>
              <w:rPr>
                <w:sz w:val="20"/>
                <w:szCs w:val="20"/>
                <w:color w:val="auto"/>
              </w:rPr>
            </w:pPr>
          </w:p>
        </w:tc>
        <w:tc>
          <w:tcPr>
            <w:tcW w:w="1220" w:type="dxa"/>
            <w:vAlign w:val="bottom"/>
            <w:gridSpan w:val="2"/>
          </w:tcPr>
          <w:p>
            <w:pPr>
              <w:jc w:val="right"/>
              <w:ind w:righ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0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9"/>
              </w:rPr>
              <w:t>Thirteen weeks ended May 3, 2025</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111,273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128,395</w:t>
            </w:r>
          </w:p>
        </w:tc>
      </w:tr>
      <w:tr>
        <w:trPr>
          <w:trHeight w:val="216"/>
        </w:trPr>
        <w:tc>
          <w:tcPr>
            <w:tcW w:w="340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9"/>
              </w:rPr>
              <w:t>Thirteen weeks ended May 4, 2024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4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99,451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114,730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corporately-managed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corporately-managed locations in the U.K. and the Republic of Ireland and sales to wholesale customers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ectPr>
          <w:pgSz w:w="11900" w:h="16838" w:orient="portrait"/>
          <w:cols w:equalWidth="0" w:num="1">
            <w:col w:w="11100"/>
          </w:cols>
          <w:pgMar w:left="320" w:top="121" w:right="479"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May 3, 2025, the Company had a gross receivable balance of $5.1 million and a reserve of $3.6 million, leaving a net receivable of $1.5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1, 2025, as filed with the SEC, and include the following:</w:t>
      </w:r>
    </w:p>
    <w:p>
      <w:pPr>
        <w:spacing w:after="0" w:line="180" w:lineRule="exact"/>
        <w:rPr>
          <w:sz w:val="20"/>
          <w:szCs w:val="20"/>
          <w:color w:val="auto"/>
        </w:rPr>
      </w:pPr>
    </w:p>
    <w:p>
      <w:pPr>
        <w:ind w:left="480" w:right="240" w:hanging="175"/>
        <w:spacing w:after="0" w:line="257"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1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significant tariffs on countries from which we import is expected to have an impact on our business, mainly our cost of goods and profit margin;</w:t>
      </w:r>
    </w:p>
    <w:p>
      <w:pPr>
        <w:ind w:left="480" w:right="6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various significant competitive threats;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could negatively impact our business, financial position and results of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 prices;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14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renew, renegotiate or replace our store leases or enter into leases for new stores on favorable terms, or if we violate any of the terms of our current leases, our revenue and profitability could be harmed;</w:t>
      </w:r>
    </w:p>
    <w:p>
      <w:pPr>
        <w:ind w:left="480" w:right="9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w:t>
      </w:r>
    </w:p>
    <w:p>
      <w:pPr>
        <w:spacing w:after="0" w:line="9" w:lineRule="exact"/>
        <w:rPr>
          <w:rFonts w:ascii="Times New Roman" w:cs="Times New Roman" w:eastAsia="Times New Roman" w:hAnsi="Times New Roman"/>
          <w:sz w:val="18"/>
          <w:szCs w:val="18"/>
          <w:color w:val="auto"/>
        </w:rPr>
      </w:pPr>
    </w:p>
    <w:p>
      <w:pPr>
        <w:ind w:left="48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80" w:right="32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right="26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480" w:right="140" w:hanging="175"/>
        <w:spacing w:after="0" w:line="250" w:lineRule="auto"/>
        <w:tabs>
          <w:tab w:leader="none" w:pos="4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effectively manage our international partner-operated locations, attract new partners or if the laws relating to our international partners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jc w:val="both"/>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jc w:val="both"/>
        <w:ind w:left="4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771"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7"/>
          <w:szCs w:val="17"/>
          <w:color w:val="auto"/>
        </w:rPr>
        <w:t>We were formed in 1997 as a mall-based, experiential specialty retailer. Build-A-Bear has evolved to become a beloved multi-generational brand focused on its mission to “add a little more heart to life” where guests of all ages make their own “furry friends” in celebration and commemoration of life moments. Guests create their own stuffed animals by participating in the stuffing, dressing, accessorizing, and naming of their own teddy bears and other plush toys based on the Company’s own intellectual property and in conjunction with a variety of best-in-class licenses. The hands-on and interactive nature of our more than 600 company-owned, partner-operated and franchise experience locations around the world, combined with Build-A-Bear’s pop-culture appeal, often fosters a lasting and emotional brand connection with consumers, and has enabled the Company to expand beyond its retail stores to include e-commerce sales on www.buildabear.com and non-plush branded consumer categories via out-bound licensing agreements with leading manufacturers, as well as the creation of engaging content via Build-A-Bear Entertainment (a subsidiary of Build-A-Bear Workshop, Inc.). Over the last</w:t>
      </w:r>
    </w:p>
    <w:p>
      <w:pPr>
        <w:spacing w:after="0" w:line="251" w:lineRule="auto"/>
        <w:rPr>
          <w:sz w:val="20"/>
          <w:szCs w:val="20"/>
          <w:color w:val="auto"/>
        </w:rPr>
      </w:pPr>
      <w:r>
        <w:rPr>
          <w:rFonts w:ascii="Times New Roman" w:cs="Times New Roman" w:eastAsia="Times New Roman" w:hAnsi="Times New Roman"/>
          <w:sz w:val="18"/>
          <w:szCs w:val="18"/>
          <w:color w:val="auto"/>
        </w:rPr>
        <w:t>28 years, Build-A-Bear has become a brand with high consumer awareness, positive affinity, and strong retail influence by leveraging our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third-party 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appeal has played a key role in growing our total addressable market beyond children by adding teens and adults with entertainment and sports licensing, collectible and gifting offerings, as well as by introducing new products and adding categories beyond plush.</w:t>
      </w:r>
    </w:p>
    <w:p>
      <w:pPr>
        <w:spacing w:after="0" w:line="19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primarily operate through a vertical retail channel with corporately-managed, partner-operated, and franchise locations that feature a unique combination of experience and product in which guests can “make their own stuffed animals.” We also operate buildabear.com, which both serves as an information and communications tool to plan a store visit as well as an e-commerce site that focuses on gift-giving, collectible merchandise, and licensed products that appeal to consumers that have an affinity for characters from a range of entertainment, sports, art, and gaming properties.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 Additionally, we offer products in nonplush consumer categories via outbound licensing agreements with leading manufacturers.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strategy includes leveraging our brand strength to continue to evolve our brick-and-mortar retail footprint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by adding tweens, teens and adults with entertainment and sports licensing, plus collectible and gifting offerings.</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of May 3, 2025, we had 369 corporately-managed stores globally, 148 partner-operated locations operating through our "third-party retail" model in which we sell our products on a wholesale basis to other companies that execute our retail experience, and 87 international franchised stores, all under the Build-A-Bear Workshop brand. We also operate a limited number of seasonal locations.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480" w:right="420" w:hanging="162"/>
        <w:spacing w:after="0" w:line="234"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Direct-to-Consumer (“DTC”) – Corporately-managed retail stores located in the U.S., Canada, the U.K., and the Republic of Ireland and two e-commerce sites;</w:t>
      </w:r>
    </w:p>
    <w:p>
      <w:pPr>
        <w:spacing w:after="0" w:line="1" w:lineRule="exact"/>
        <w:rPr>
          <w:rFonts w:ascii="Times New Roman" w:cs="Times New Roman" w:eastAsia="Times New Roman" w:hAnsi="Times New Roman"/>
          <w:sz w:val="22"/>
          <w:szCs w:val="22"/>
          <w:color w:val="auto"/>
        </w:rPr>
      </w:pPr>
    </w:p>
    <w:p>
      <w:pPr>
        <w:ind w:left="480" w:right="100" w:hanging="162"/>
        <w:spacing w:after="0" w:line="225"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ind w:left="480" w:hanging="162"/>
        <w:spacing w:after="0" w:line="204" w:lineRule="auto"/>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products and fixtures sales from other international operations under franchise agreements.</w:t>
      </w:r>
    </w:p>
    <w:p>
      <w:pPr>
        <w:spacing w:after="0" w:line="22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weeks ended May 3, 2025 and May 4, 2024 are set forth in the notes to our condensed consolidated financial statements included elsewhere in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experience locations that feature a unique combination of interactivity and product in which guests can “make their own stuffed animals” by participating in the stuffing, dressing, accessorizing and naming of their own teddy bears and other stuffed animals along with the now-famous "Heart Ceremony" that helps to make the experience memorable by bringing the furry friend to "life."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an age-gated adult-focused “Bear Cave” microsite. Our retail stores also act as “mini distribution centers” that provide efficient omnichannel support for our digital demand. The primary consumer target for our retail stores is families with children while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92" w:lineRule="exact"/>
        <w:rPr>
          <w:sz w:val="20"/>
          <w:szCs w:val="20"/>
          <w:color w:val="auto"/>
        </w:rPr>
      </w:pPr>
    </w:p>
    <w:p>
      <w:pPr>
        <w:ind w:left="20" w:right="8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3" w:lineRule="exact"/>
        <w:rPr>
          <w:sz w:val="20"/>
          <w:szCs w:val="20"/>
          <w:color w:val="auto"/>
        </w:rPr>
      </w:pPr>
    </w:p>
    <w:p>
      <w:pPr>
        <w:ind w:left="20"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w:t>
      </w:r>
    </w:p>
    <w:p>
      <w:pPr>
        <w:spacing w:after="0" w:line="180" w:lineRule="exact"/>
        <w:rPr>
          <w:sz w:val="20"/>
          <w:szCs w:val="20"/>
          <w:color w:val="auto"/>
        </w:rPr>
      </w:pPr>
    </w:p>
    <w:p>
      <w:pPr>
        <w:ind w:left="20" w:right="44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initiatives and investments that were put in place prior to the pandemic, and in many cases, we accelerated during the pandemic, are driving improved results, as we delivered growth in total revenues and pretax profit in fiscal 2022, 2023 and 2024. To continue to drive revenue and profit growth, we remain focused on our strategic priorities, which are centered primarily on three key areas:</w:t>
      </w:r>
    </w:p>
    <w:p>
      <w:pPr>
        <w:spacing w:after="0" w:line="392" w:lineRule="exact"/>
        <w:rPr>
          <w:sz w:val="20"/>
          <w:szCs w:val="20"/>
          <w:color w:val="auto"/>
        </w:rPr>
      </w:pPr>
    </w:p>
    <w:p>
      <w:pPr>
        <w:ind w:left="600" w:hanging="235"/>
        <w:spacing w:after="0" w:line="254"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global expansion of our unique experience locations.</w:t>
      </w:r>
      <w:r>
        <w:rPr>
          <w:rFonts w:ascii="Times New Roman" w:cs="Times New Roman" w:eastAsia="Times New Roman" w:hAnsi="Times New Roman"/>
          <w:sz w:val="18"/>
          <w:szCs w:val="18"/>
          <w:color w:val="auto"/>
        </w:rPr>
        <w:t xml:space="preserve"> During the first thirteen weeks of fiscal 2025, we opened a net 15 Build-A-Bear Workshop retail experience locations, through a combination of corporately-managed, third-party operated, and franchise business models. In fiscal 2025, we expect net new unit growth of at least 50 locations in North America and internationally through our three store business models. We have made a concerted effort to shift to non-traditional locations, including family-centric tourist and hospitality sites, as well as asset-light partner-operated and franchise locations, and now have more than a third of total stores in non-traditional settings. While tourist sites have been and will remain a critical part of our location expansion strategy, recent research data supports our opportunity to reengage in profitable expansion in traditional locations on a more localized level, particularly given the numerous and flexible corporate store models we have developed in the past few years.</w:t>
      </w:r>
    </w:p>
    <w:p>
      <w:pPr>
        <w:spacing w:after="0" w:line="191" w:lineRule="exact"/>
        <w:rPr>
          <w:rFonts w:ascii="Times New Roman" w:cs="Times New Roman" w:eastAsia="Times New Roman" w:hAnsi="Times New Roman"/>
          <w:sz w:val="18"/>
          <w:szCs w:val="18"/>
          <w:color w:val="auto"/>
        </w:rPr>
      </w:pPr>
    </w:p>
    <w:p>
      <w:pPr>
        <w:ind w:left="600" w:right="20" w:hanging="235"/>
        <w:spacing w:after="0" w:line="256"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 our comprehensive digital transformation.</w:t>
      </w:r>
      <w:r>
        <w:rPr>
          <w:rFonts w:ascii="Times New Roman" w:cs="Times New Roman" w:eastAsia="Times New Roman" w:hAnsi="Times New Roman"/>
          <w:sz w:val="18"/>
          <w:szCs w:val="18"/>
          <w:color w:val="auto"/>
        </w:rPr>
        <w:t xml:space="preserve"> In addition to systems upgrades and e-commerce evolution, we have been enhancing our marketing and loyalty programs as well as creating digital content and entertainment initiatives to increase consumer engagement. Our digital transformation is also designed to elevate our business efficiency, integrate our consumer communications to acquire new guests and increase purchase occasions while expanding our total addressable market beyond our core kid base and to acquire tween, teen and adults with new offerings including gifting, personalization and licensed options. In September 2024, we created a new position of Chief Revenue Officer to further align our operating structure with our digital strategy.</w:t>
      </w:r>
    </w:p>
    <w:p>
      <w:pPr>
        <w:spacing w:after="0" w:line="187" w:lineRule="exact"/>
        <w:rPr>
          <w:rFonts w:ascii="Times New Roman" w:cs="Times New Roman" w:eastAsia="Times New Roman" w:hAnsi="Times New Roman"/>
          <w:sz w:val="18"/>
          <w:szCs w:val="18"/>
          <w:color w:val="auto"/>
        </w:rPr>
      </w:pPr>
    </w:p>
    <w:p>
      <w:pPr>
        <w:ind w:left="600" w:right="40" w:hanging="235"/>
        <w:spacing w:after="0" w:line="256"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Drive profitable growth through investment initiatives while maintaining a commitment to return capital to shareholders.</w:t>
      </w:r>
      <w:r>
        <w:rPr>
          <w:rFonts w:ascii="Times New Roman" w:cs="Times New Roman" w:eastAsia="Times New Roman" w:hAnsi="Times New Roman"/>
          <w:sz w:val="18"/>
          <w:szCs w:val="18"/>
          <w:color w:val="auto"/>
        </w:rPr>
        <w:t xml:space="preserve"> As corporate store operating margins have remained robust from higher levels of revenue combined with disciplined expense management, particularly considering recent inflationary pressures, wage and tariff increases and supply chain challenges, and as we continue to evolve our real estate portfolio with new locations and formats, plus shift to asset-light business models, our cash flows have meaningfully improved. This higher-level of cash flows has been used to increase support for key initiatives to deliver long-term profitable growth, while also returning capital to shareholders through dividends and share repurchases.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and Europe for the periods presented: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80" w:type="dxa"/>
            <w:vAlign w:val="bottom"/>
          </w:tcPr>
          <w:p>
            <w:pPr>
              <w:spacing w:after="0"/>
              <w:rPr>
                <w:sz w:val="16"/>
                <w:szCs w:val="16"/>
                <w:color w:val="auto"/>
              </w:rPr>
            </w:pPr>
          </w:p>
        </w:tc>
        <w:tc>
          <w:tcPr>
            <w:tcW w:w="1200" w:type="dxa"/>
            <w:vAlign w:val="bottom"/>
            <w:gridSpan w:val="2"/>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As of May 3, 2025, 52%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Retail 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third-party retail locations opened and closed for the periods presented below is summarized as follows:</w:t>
      </w:r>
    </w:p>
    <w:p>
      <w:pPr>
        <w:spacing w:after="0" w:line="22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680" w:type="dxa"/>
            <w:vAlign w:val="bottom"/>
          </w:tcPr>
          <w:p>
            <w:pPr>
              <w:spacing w:after="0"/>
              <w:rPr>
                <w:sz w:val="18"/>
                <w:szCs w:val="18"/>
                <w:color w:val="auto"/>
              </w:rPr>
            </w:pPr>
          </w:p>
        </w:tc>
        <w:tc>
          <w:tcPr>
            <w:tcW w:w="12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80" w:type="dxa"/>
            <w:vAlign w:val="bottom"/>
          </w:tcPr>
          <w:p>
            <w:pPr>
              <w:spacing w:after="0"/>
              <w:rPr>
                <w:sz w:val="18"/>
                <w:szCs w:val="18"/>
                <w:color w:val="auto"/>
              </w:rPr>
            </w:pPr>
          </w:p>
        </w:tc>
      </w:tr>
      <w:tr>
        <w:trPr>
          <w:trHeight w:val="210"/>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56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60" w:firstLine="486"/>
        <w:spacing w:after="0" w:line="258" w:lineRule="auto"/>
        <w:rPr>
          <w:sz w:val="20"/>
          <w:szCs w:val="20"/>
          <w:color w:val="auto"/>
        </w:rPr>
      </w:pPr>
      <w:r>
        <w:rPr>
          <w:rFonts w:ascii="Times New Roman" w:cs="Times New Roman" w:eastAsia="Times New Roman" w:hAnsi="Times New Roman"/>
          <w:sz w:val="18"/>
          <w:szCs w:val="18"/>
          <w:color w:val="auto"/>
        </w:rPr>
        <w:t>Through our third-party retail model, there were 148 stores in operation at the end of the first quarter of 2025 with relationships that included Carnival Cruise Line, Great Wolf Lodge Resorts, Landry's and Girl Scouts of the USA. The third-party retail model is capital light for us, with the partner company building out and operating the workshops including providing the real estate location and covering the cost of labor and inventory, which is purchased from us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May 3, 2025, we had five master franchise agreements, which typically grant franchise rights for a particular country or group of countries, covering a total of eight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80" w:type="dxa"/>
            <w:vAlign w:val="bottom"/>
          </w:tcPr>
          <w:p>
            <w:pPr>
              <w:spacing w:after="0"/>
              <w:rPr>
                <w:sz w:val="18"/>
                <w:szCs w:val="18"/>
                <w:color w:val="auto"/>
              </w:rPr>
            </w:pPr>
          </w:p>
        </w:tc>
      </w:tr>
      <w:tr>
        <w:trPr>
          <w:trHeight w:val="21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ectPr>
          <w:pgSz w:w="11900" w:h="16838" w:orient="portrait"/>
          <w:cols w:equalWidth="0" w:num="1">
            <w:col w:w="11140"/>
          </w:cols>
          <w:pgMar w:left="300" w:top="121" w:right="459" w:bottom="1440" w:gutter="0" w:footer="0" w:header="0"/>
        </w:sectPr>
      </w:pP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121"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040" w:type="dxa"/>
            <w:vAlign w:val="bottom"/>
            <w:tcBorders>
              <w:top w:val="single" w:sz="8" w:color="auto"/>
            </w:tcBorders>
          </w:tcPr>
          <w:p>
            <w:pPr>
              <w:jc w:val="center"/>
              <w:ind w:left="3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7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6"/>
                <w:szCs w:val="26"/>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120" w:hanging="372"/>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80" w:hanging="372"/>
        <w:spacing w:after="0" w:line="26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May 3, 2025 compared to thirteen weeks ended May 4, 2024</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$13.7 million or 11.9%, primarily driven by a $11.7 million or 10.9% increase in Net Retail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$1.6 million or 27% increase in Commercial revenue when compared to the first fiscal quarter of 2024. The increase in net retail sales was driven primarily by growth at existing stores. The increased commercial revenue was due to higher sales to our wholesale customers, including sales to new wholesale customers resulting from the opening of 51 third-party retail stores since the first quarter of 2024.</w:t>
      </w:r>
    </w:p>
    <w:p>
      <w:pPr>
        <w:spacing w:after="0" w:line="18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May 3, 2025 were $119.6 million, compared to $107.9 million for the thirteen weeks ended May 4, 2024. The components of the improved performance are as follows (dollars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discounts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higher retail revenue performance was primarily the result of an increased sales at existing stores and sales at new stores partially offset by the effect of store closures.</w:t>
      </w:r>
    </w:p>
    <w:p>
      <w:pPr>
        <w:sectPr>
          <w:pgSz w:w="11900" w:h="16838" w:orient="portrait"/>
          <w:cols w:equalWidth="0" w:num="1">
            <w:col w:w="11220"/>
          </w:cols>
          <w:pgMar w:left="320" w:top="121" w:right="359" w:bottom="933"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33"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$7.6 million for the thirteen weeks ended May 3, 2025 compared to $6.0 million for the thirteen weeks ended May 4, 2024. The $1.6 million increase is primarily due to increased sales volume from our wholesale accounts through our partner-operated third-party retail model.</w:t>
      </w:r>
    </w:p>
    <w:p>
      <w:pPr>
        <w:spacing w:after="0" w:line="176"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International franchising revenue was $1.2 million for the thirteen weeks ended May 3, 2025 compared to $0.9 million for the thirteen weeks ended May 4, 2024. The change is primarily the result of the timing of product shipments and the opening of 10 franchise stores since the first quarter 2024.</w:t>
      </w:r>
    </w:p>
    <w:p>
      <w:pPr>
        <w:spacing w:after="0" w:line="174"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$9.5 million to $68.0 million from $58.5 million for the thirteen weeks ended May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retail gross margin rate increased 270 basis points compared to the prior year driven primarily by improved merchandise margin compared to the first quarter of fiscal 2024.</w:t>
      </w:r>
    </w:p>
    <w:p>
      <w:pPr>
        <w:spacing w:after="0" w:line="17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$53.6 million, or 41.7% of consolidated revenue, for the thirteen weeks ended May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$47.6 million, or 41.5% of consolidated revenue, for the thirteen weeks ended May 4, 2024. The increase was driven by higher wage rates, increased healthcare costs and general inflationary pressures.</w:t>
      </w:r>
    </w:p>
    <w:p>
      <w:pPr>
        <w:spacing w:after="0" w:line="173"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was $0.2 million for the thirteen weeks ended May 3, 2025 compared to interest income of $0.4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May 4, 2024.</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$4.3 million with a tax rate of 22.0% for the thirteen weeks ended May 3, 2025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$3.6 million with a tax rate of 23.8% for the thirteen weeks ended May 4, 2024. In the first quarter of fiscal 2025, the effective tax rate differed from the statutory rate of 21% primarily due to state income tax expense partially offset by the tax impact of equity awards vesting and the foreign-derived intangible income deduction. In the first quarter of fiscal 2024, the effective tax rate differed from the statutory rate of 21% primarily due to state income tax expense partially offset by the tax impact of equity awards vesting. In addition, in the first quarter of fiscal 2025 and 2024, the Company remains in a full valuation allowance in certain foreign jurisdictions.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May 3, 2025</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1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118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thirteen weeks ended May 3, 2025 increased $4.9 million, or 26.7% to $23.1 million from $18.3 million for the thirteen weeks ended May 4, 2024. The increase was driven by gross profit driven by increased retail and commercial margins partially offset by higher SG&amp;A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(5) changes in foreign currency exchange rates; (6) the timing of new store openings, closings, relocations and remodeling and related expenses; (7) changes in consumer preferences; (8) the effectiveness of our inventory management; (9) the actions of our competitors or mall anchors and co-tenants; (10) seasonal shopping patterns and holiday and vacation schedules; (11) disruptions in store operations due to civil unrest; and (12) weather conditions.</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Our most recent 14-week quarter was the 2023 fiscal fourth quarter.</w:t>
      </w:r>
    </w:p>
    <w:p>
      <w:pPr>
        <w:sectPr>
          <w:pgSz w:w="11900" w:h="16838" w:orient="portrait"/>
          <w:cols w:equalWidth="0" w:num="1">
            <w:col w:w="11240"/>
          </w:cols>
          <w:pgMar w:left="320" w:top="121" w:right="339" w:bottom="906"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06"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May 3, 2025, we had a consolidated cash balance of $44.3 million, 79%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Additionally, during 2025 we have used cash on-hand to invest in short-term, highly liquid investments with original maturities of three months or less resulting in interest income of $0.2 million during the thirteen weeks ended May 3,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87"/>
        </w:trPr>
        <w:tc>
          <w:tcPr>
            <w:tcW w:w="5680" w:type="dxa"/>
            <w:vAlign w:val="bottom"/>
          </w:tcPr>
          <w:p>
            <w:pPr>
              <w:spacing w:after="0"/>
              <w:rPr>
                <w:sz w:val="16"/>
                <w:szCs w:val="16"/>
                <w:color w:val="auto"/>
              </w:rPr>
            </w:pPr>
          </w:p>
        </w:tc>
        <w:tc>
          <w:tcPr>
            <w:tcW w:w="10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May 3,</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May 4,</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27,803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10,365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(13,978)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Increase/(Decrease) in cash, cash equivalents, and restricted cash</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16,584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increased $17.4 million for the thirteen weeks ended May 3, 2025,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4, 2024. This increase in cash from operating activities was primarily the result of a decrease in accounts receivable resulting from lower receivables from commercial accounts and an increase in accounts payable and accrued expenses. These increases were partially offset by higher cash spent on inventory purchases due to accelerated purchases in anticipation of the uncertainty in cost due to potential tariffs.</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$0.5 million for the thirteen weeks ended May 3, 2025, as compared to the thirteen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May 4, 2024. The increase in cash used in investing activities was primarily driven by increased spending on capital expenditures.</w:t>
      </w:r>
    </w:p>
    <w:p>
      <w:pPr>
        <w:spacing w:after="0" w:line="158" w:lineRule="exact"/>
        <w:rPr>
          <w:sz w:val="20"/>
          <w:szCs w:val="20"/>
          <w:color w:val="auto"/>
        </w:rPr>
      </w:pPr>
    </w:p>
    <w:p>
      <w:pPr>
        <w:ind w:right="5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decreased $5.6 million for the thirteen weeks ended May 3, 2025,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4, 2024. This decrease in cash used in financing activities was driven by a decrease in the amount utilized to repurchase shares during the first quarter when compared to the prior year.</w:t>
      </w:r>
    </w:p>
    <w:p>
      <w:pPr>
        <w:spacing w:after="0" w:line="17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As of May 3, 2025, borrowings under the agreement would bear interest at</w:t>
      </w:r>
    </w:p>
    <w:p>
      <w:pPr>
        <w:ind w:right="100" w:firstLine="8"/>
        <w:spacing w:after="0" w:line="255"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determined under the agreement, or (b) the borrower's option, at a rate based on SOFR, plus in either case a margin based on average undrawn availability as determined in accordance with the agreement. As of May 3, 2025, our borrowing base was $25.0 million and the Company had no outstanding borrowings as of the end of the quarter.</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corporately-managed retail stores are located within shopping malls and all are operated under leases classified as operating leases. Our leases in North America tend to be shorter term leases to provide flexibility in aligning stores with market trends. Beginning in fiscal 2023, lease extensions began to have longer terms as we have secured longer contracts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leases in the U.K. and the Republic of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cannot do so, our results of operations and financial condition could be harmed, and we may be required to record significant additional impairment charges.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thirteen weeks ended May 3, 2025 totaled $2.9 million for information technology projects and new store openings, and we expect to spend approximately $20 to $25 million on capital expenditures in fiscal 2025.</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Total inventory at quarter end was $72.3 million, an increase of $8.3 million or 13% from the end of the fiscal 2024 first quarter. Beginning in the second half of fiscal 2024 and continuing into the first quarter of fiscal 2025, we accelerated the acquisition of our core products in anticipation of the uncertainty in cost due to potential tariffs. We are comfortable with the level and composition of our inventory.</w:t>
      </w:r>
    </w:p>
    <w:p>
      <w:pPr>
        <w:spacing w:after="0" w:line="176" w:lineRule="exact"/>
        <w:rPr>
          <w:sz w:val="20"/>
          <w:szCs w:val="20"/>
          <w:color w:val="auto"/>
        </w:rPr>
      </w:pPr>
    </w:p>
    <w:p>
      <w:pPr>
        <w:jc w:val="both"/>
        <w:ind w:left="160" w:right="12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May 3, 2025, we had purchase obligations totaling approximately $100.7 million, of which $26.7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utilized $4.2 million in cash to repurchase 108,502 shares during the thirteen weeks ended May 3, 2025, compared to using $9.2 million in cash to repurchase 343,406 shares during the thirteen weeks ended May 4,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was seen throughout fiscal 2024, predominately through rising store labor costs. However, we continue to take mitigating actions, such as select strategic price increases on highly sought-after products and leveraging distribution costs. We expect the inflationary pressures experienced in fiscal 2024 to continue into fiscal 2025, specifically through wage increases and tariffs on inventory purchases. We continue to monitor the impact of inflation on our business operations on an ongoing basis and may need to adjust our prices further to mitigate the impacts of changes to the rate of inflation during 2025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Russia/Ukraine conflict, tension between China and Taiwan, and the Israel-Hamas conflict. We cannot provide an estimate or range of impact that such inflation may have on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if we elect to maintain higher inventory reserves to mitigate anticipated higher costs.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February 1, 2025 as filed with the SEC on April 17, 2025, which includes audited consolidated financial statements for our 2023 and 2022 fiscal years. There have been no material changes to the critical accounting estimates disclosed in the 2024 Form 10-K.</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May 3, 2025,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have materially affected, or are reasonable likely to materially affect, our internal control over financial reporting.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1, 2025 as filed with the SEC on April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80" w:type="dxa"/>
            <w:vAlign w:val="bottom"/>
          </w:tcPr>
          <w:p>
            <w:pPr>
              <w:spacing w:after="0"/>
              <w:rPr>
                <w:sz w:val="20"/>
                <w:szCs w:val="20"/>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 2025 - March 1, 2025</w:t>
            </w:r>
          </w:p>
        </w:tc>
        <w:tc>
          <w:tcPr>
            <w:tcW w:w="1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66,337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39.22</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86,593,651</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2, 2025 - April 5, 2025</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42,165</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37.97</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42,165</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84,992,834</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6, 2025 - May 3, 2025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84,992,834</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144,392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32.36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108,502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84,992,834</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020" w:hanging="349"/>
        <w:spacing w:after="0" w:line="255"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if any. Our equity incentive plans provide that the value of shares delivered to us to pay the withholding tax obligations is calculated at the closing trading price of our common stock on the date the relevant transactions occur.</w:t>
      </w:r>
    </w:p>
    <w:p>
      <w:pPr>
        <w:spacing w:after="0" w:line="2" w:lineRule="exact"/>
        <w:rPr>
          <w:rFonts w:ascii="Times New Roman" w:cs="Times New Roman" w:eastAsia="Times New Roman" w:hAnsi="Times New Roman"/>
          <w:sz w:val="18"/>
          <w:szCs w:val="18"/>
          <w:color w:val="auto"/>
        </w:rPr>
      </w:pPr>
    </w:p>
    <w:p>
      <w:pPr>
        <w:ind w:left="1480" w:hanging="349"/>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9" w:lineRule="exact"/>
        <w:rPr>
          <w:rFonts w:ascii="Times New Roman" w:cs="Times New Roman" w:eastAsia="Times New Roman" w:hAnsi="Times New Roman"/>
          <w:sz w:val="18"/>
          <w:szCs w:val="18"/>
          <w:color w:val="auto"/>
        </w:rPr>
      </w:pPr>
    </w:p>
    <w:p>
      <w:pPr>
        <w:ind w:left="1480" w:right="1220" w:hanging="349"/>
        <w:spacing w:after="0" w:line="253"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2024, we announced that our Board of Directors authorized a share repurchase program of up to $100 million (replacing the previous stock repurchase program which was terminated). This program authorizes the Company to repurchase shares through September 30, 2028, and does not require the Company to repurchase any specific number of shares, and may be modified, suspended or terminated at any time without prior notice. Shares repurchased under the program will be subsequently retired.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Trading Plans of Directors and Executive Officers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Company's fiscal quarter ended May 3, 2025, none of our directors or officers informed us of the adoption or termination of a “Rule 10b5-1 trading arrangement” or “non-Rule 10b5-1 trading arrangement,”, as such terms are defined under Item 408(a) of Regulation S-K.</w:t>
      </w: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and Restated Bylaws, as amended through January 4, 2018 (incorporated by reference from Exhibit 3.1 to our Current Report on</w:t>
              </w:r>
            </w:hyperlink>
          </w:p>
        </w:tc>
        <w:tc>
          <w:tcPr>
            <w:tcW w:w="22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8-K, filed on January 4, 2018)</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6"/>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(on behalf of the registrant and as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21"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May 3, 2025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May 3, 2025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lvl w:ilvl="1">
      <w:lvlJc w:val="left"/>
      <w:lvlText w:val="(%2)"/>
      <w:numFmt w:val="decimal"/>
      <w:start w:val="1"/>
    </w:lvl>
  </w:abstractNum>
  <w:abstractNum w:abstractNumId="5">
    <w:nsid w:val="140E0F76"/>
    <w:multiLevelType w:val="hybridMultilevel"/>
    <w:lvl w:ilvl="0">
      <w:lvlJc w:val="left"/>
      <w:lvlText w:val="%1."/>
      <w:numFmt w:val="decimal"/>
      <w:start w:val="5"/>
    </w:lvl>
    <w:lvl w:ilvl="1">
      <w:lvlJc w:val="left"/>
      <w:lvlText w:val="%2"/>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38" Type="http://schemas.openxmlformats.org/officeDocument/2006/relationships/hyperlink" Target="http://www.sec.gov/Archives/edgar/data/1113809/000095013704006634/c86750exv2w1.txt" TargetMode="External"/><Relationship Id="rId39" Type="http://schemas.openxmlformats.org/officeDocument/2006/relationships/hyperlink" Target="http://www.sec.gov/Archives/edgar/data/1113809/000095013804000748/exh3-1.htm" TargetMode="External"/><Relationship Id="rId40" Type="http://schemas.openxmlformats.org/officeDocument/2006/relationships/hyperlink" Target="http://www.sec.gov/Archives/edgar/data/1113809/000115752318000029/a51738867_ex31.htm#Exhibit31" TargetMode="External"/><Relationship Id="rId41"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2025-06-12T08:18:04Z</dcterms:created>
  <dcterms:modified xsi:type="dcterms:W3CDTF">2025-06-12T08:18:04Z</dcterms:modified>
</cp:coreProperties>
</file>