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Carrara George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BUILD-A-BEAR WORKSHOP,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415 SOUTH 18TH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BUILD-A-BEAR WORKSHOP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BBW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63103</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13,940</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to Reporting Person of 2,663 shares of restricted stock. The shares vest on June 11, 2027.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not applicable to grants of restricted stock.</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giving effect to the transactions reported in this Form 4, Mr. Carrara directly beneficially owns 11,277 shares of common stock and 2,663 shares of restricted stock of Build-A-Bear Workshop, Inc. 1,856 restricted shares vested on June 12, 2026, a day after the above reported transaction. For purposes of this footnote, we have included these 1,856 shares as common stock instead of restricted, making this footnote accurate as of the date of filing.</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Yevgeny Fundler,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George</w:t>
        <w:tab/>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Carrara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9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5570" TargetMode="External"/><Relationship Id="rId14" Type="http://schemas.openxmlformats.org/officeDocument/2006/relationships/hyperlink" Target="http://www.sec.gov/cgi-bin/browse-edgar?action=getcompany&amp;CIK=0001113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2026-06-12T08:27:01Z</dcterms:created>
  <dcterms:modified xsi:type="dcterms:W3CDTF">2026-06-12T08:27:01Z</dcterms:modified>
</cp:coreProperties>
</file>