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920" w:type="dxa"/>
            <w:vAlign w:val="bottom"/>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920" w:type="dxa"/>
            <w:vAlign w:val="bottom"/>
          </w:tcPr>
          <w:p>
            <w:pPr>
              <w:spacing w:after="0"/>
              <w:rPr>
                <w:sz w:val="20"/>
                <w:szCs w:val="20"/>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0"/>
                <w:szCs w:val="20"/>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7, 2022, there were 15,586,751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58"/>
        </w:trPr>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1,</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32,845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45,931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77,366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12,436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9,798</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107,763</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72,126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99,518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46,691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50,417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256,425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266,324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264,383</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21,849</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23,444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23,470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18,770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18,210</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89,495</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87,397</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66,617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95,654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April 30, 2022, January 29, 2022 and May 1, 2021</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15,685,750, 16,146,332, and 16,047,828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71,962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73,024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(12,452)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38,872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17,322</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98,539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77,977</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256,425</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264,383</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112,890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89,212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91,693</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42,093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10,380</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3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15,475,731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15,062,025</w:t>
            </w: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15,964,433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15,757,033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May 1,</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14,190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80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12,059</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for employee equity awards, net of tax</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26,093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45,931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25,641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44,226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26,093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45,931</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1280" w:type="dxa"/>
            <w:vAlign w:val="bottom"/>
          </w:tcPr>
          <w:p>
            <w:pPr>
              <w:spacing w:after="0"/>
              <w:rPr>
                <w:sz w:val="24"/>
                <w:szCs w:val="24"/>
                <w:color w:val="auto"/>
              </w:rPr>
            </w:pPr>
          </w:p>
        </w:tc>
        <w:tc>
          <w:tcPr>
            <w:tcW w:w="70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29, 2022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29, 2022, which were included in the Company’s Annual Report on Form 10-K filed with the SEC on April 14, 2022.</w:t>
      </w:r>
    </w:p>
    <w:p>
      <w:pPr>
        <w:spacing w:after="0" w:line="192" w:lineRule="exact"/>
        <w:rPr>
          <w:sz w:val="20"/>
          <w:szCs w:val="20"/>
          <w:color w:val="auto"/>
        </w:rPr>
      </w:pPr>
    </w:p>
    <w:p>
      <w:pPr>
        <w:ind w:left="160" w:right="480" w:firstLine="486"/>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 Pandemic Update</w:t>
      </w:r>
    </w:p>
    <w:p>
      <w:pPr>
        <w:spacing w:after="0" w:line="227"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At the beginning of fiscal 2021, our United States ("U.S.") store portfolio was open and operating while our stores in the United Kingdom ("U.K."), Canada, and Ireland remained temporarily closed. In April 2021, stores in the U.K. and Canada reopened as the government lifted lockdown restrictions resulting in almost all of our stores operating as of the end of the fiscal 2021 first quarter with the remaining stores in the U.K. and Ireland opening in the fiscal 2021 second quarter and ending the fiscal 2021 second quarter with all stores open. For fiscal 2022 first quarter, essentially all corporately-managed stores in the portfolio remained open throughout the quarter, therefore significantly lessening the impact of the pandemic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January 29,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Currently, 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96% of consolidated revenue for the first quarter of fiscal 2022.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our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Company’s gift cards, revenue, including any related gift card discounts, is deferred for single transactions until redemption.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fiscal 2021 and thus far in fiscal 2022, the Company has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in fiscal 2022 and 2021 reflects the pattern in the future and has adjusted the historical redemption data used to calculate the breakage rate. The Company utilizes historical redemption data to develop a model to analyze the amount of breakage expected for gift cards sold to customers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monthly for those loyalty program members who have earned 100 or more points in the previous month in North America and 50 points or more in the U.K. with certifications historically expiring in three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9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classifies these guaranteed minimum contract liabilities as deferred revenue on the consolidated balance sheet.</w:t>
      </w: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sooner if the agreement is terminated prior to the end of the term.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weeks ended April 30, 2022 and May 1,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09"/>
        </w:trPr>
        <w:tc>
          <w:tcPr>
            <w:tcW w:w="5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9,473</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weeks ended April 30, 2022 and May 1,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30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11,129</w:t>
            </w:r>
          </w:p>
        </w:tc>
      </w:tr>
    </w:tbl>
    <w:p>
      <w:pPr>
        <w:spacing w:after="0" w:line="198" w:lineRule="exact"/>
        <w:rPr>
          <w:sz w:val="20"/>
          <w:szCs w:val="20"/>
          <w:color w:val="auto"/>
        </w:rPr>
      </w:pPr>
    </w:p>
    <w:p>
      <w:pPr>
        <w:jc w:val="both"/>
        <w:ind w:left="160" w:right="240" w:firstLine="486"/>
        <w:spacing w:after="0" w:line="266" w:lineRule="auto"/>
        <w:rPr>
          <w:sz w:val="20"/>
          <w:szCs w:val="20"/>
          <w:color w:val="auto"/>
        </w:rPr>
      </w:pPr>
      <w:r>
        <w:rPr>
          <w:rFonts w:ascii="Times New Roman" w:cs="Times New Roman" w:eastAsia="Times New Roman" w:hAnsi="Times New Roman"/>
          <w:sz w:val="18"/>
          <w:szCs w:val="18"/>
          <w:color w:val="auto"/>
        </w:rPr>
        <w:t>Operating cash flows for operating leases for the first quarter of fiscal 2022 decreased from the operating cash flows for operating leases for the same period in fiscal 2021, which is expected to continue for the remainder of fiscal 2022, as the Company made payments related to lease deferrals in fiscal 2021 that were negotiated in fiscal 2020 during the pandemic.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and May 1, 2021, the weighted-average remaining operating lease term was 4.5 years and 4.7 years, respectively, and the weighted-average discount rate was 6.0% and 6.0%, respectively, for operating leases recognized on the Company's Condensed Consolidated Balance Sheets.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and for the thirteen weeks ended May 1, 2021, the Company did not incur impairment charges against its right-of-use operating lease assets.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48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20,921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25,634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20,757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15,185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102,927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(12,840)</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90,087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(23,470)</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66,617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2022, the Company had additional executed leases that had not yet commenced with operating lease liabilities of $2.7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the second and third quarters of fiscal 2022 with lease terms ranging from one to ten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3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1,</w:t>
            </w:r>
          </w:p>
        </w:tc>
      </w:tr>
      <w:tr>
        <w:trPr>
          <w:trHeight w:val="238"/>
        </w:trPr>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6,135</w:t>
            </w:r>
          </w:p>
        </w:tc>
      </w:tr>
      <w:tr>
        <w:trPr>
          <w:trHeight w:val="20"/>
        </w:trPr>
        <w:tc>
          <w:tcPr>
            <w:tcW w:w="3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9,798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IT maintenance contracts and software as a service.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53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6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May 1,</w:t>
            </w: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production asset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4,971</w:t>
            </w:r>
          </w:p>
        </w:tc>
      </w:tr>
      <w:tr>
        <w:trPr>
          <w:trHeight w:val="216"/>
        </w:trPr>
        <w:tc>
          <w:tcPr>
            <w:tcW w:w="11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1120" w:type="dxa"/>
            <w:vAlign w:val="bottom"/>
          </w:tcPr>
          <w:p>
            <w:pPr>
              <w:spacing w:after="0"/>
              <w:rPr>
                <w:sz w:val="18"/>
                <w:szCs w:val="18"/>
                <w:color w:val="auto"/>
              </w:rPr>
            </w:pPr>
          </w:p>
        </w:tc>
        <w:tc>
          <w:tcPr>
            <w:tcW w:w="4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30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1,</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15,045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10,514</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 and related expenses (1)</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2,873</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6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25,543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16,629</w:t>
            </w:r>
          </w:p>
        </w:tc>
      </w:tr>
      <w:tr>
        <w:trPr>
          <w:trHeight w:val="20"/>
        </w:trPr>
        <w:tc>
          <w:tcPr>
            <w:tcW w:w="46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granting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9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thirteen weeks ended April 30, 2022 and May 1, 2021, Selling, general and administrative expense included stock-based compensation expense of $0.7 million and $0.6 million, respectively. As of April 30, 2022, there was $5.9 million of total unrecognized compensation expense related to unvested restricted stock and option awards which is expected to be recognized over a weighted-average period of 2.1 years.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thirteen weeks ended April 30, 2022:</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April 30,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313,820</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thirteen weeks ended April 30, 2022:</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306,280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56,847</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84,579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(233,442)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April 30,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286,984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295,048</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thirteen weeks ended April 30, 2022 and May 1, 2021 was $1.6 million and $1.6 million, respectively.</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April 30, 2022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- 2022 consolidated liquidity and strategic performance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- 2022 consolidated earnings before interest and taxes (EBIT)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- 2023 consolidated, cumulative earnings before interest, taxes, depreciation and</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39,821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- 2023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63,435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April 30, 2022</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295,048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20" w:type="dxa"/>
            <w:vAlign w:val="bottom"/>
            <w:vMerge w:val="restart"/>
          </w:tcPr>
          <w:p>
            <w:pPr>
              <w:ind w:left="386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was 22.0% for the thirteen weeks ended April 30, 2022 compared to 21.3% for the thirteen weeks ended May 1, 2021. In the first quarter of fiscal 2022 and fiscal 2021, the effective tax rate differed from the statutory rate of 21% primarily due to state income tax expense partially offset by the tax impact of equity awards vesting. In addition, in the first quarter of fiscal 2022, the Company remains in a full valuation allowance in certain foreign jurisdictions. In the first quarter of fiscal 2021, the effective tax rate differed from the statutory rate of 21% primarily due to state income tax expense mostly offset by the tax impact of equity awards vesting. In addition, in the first quarter of fiscal 2021, while the Company was still in a full valuation allowance globally, it recorded tax expense on the pretax income earned based on its projected current tax expense.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April 30, 2022 and May 1,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11"/>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thirteen weeks ended April 30, 2022</w:t>
            </w:r>
          </w:p>
        </w:tc>
        <w:tc>
          <w:tcPr>
            <w:tcW w:w="100" w:type="dxa"/>
            <w:vAlign w:val="bottom"/>
          </w:tcPr>
          <w:p>
            <w:pPr>
              <w:spacing w:after="0"/>
              <w:rPr>
                <w:sz w:val="20"/>
                <w:szCs w:val="20"/>
                <w:color w:val="auto"/>
              </w:rPr>
            </w:pPr>
          </w:p>
        </w:tc>
        <w:tc>
          <w:tcPr>
            <w:tcW w:w="4180" w:type="dxa"/>
            <w:vAlign w:val="bottom"/>
            <w:gridSpan w:val="1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thirteen weeks ended May 1, 2021</w:t>
            </w:r>
          </w:p>
        </w:tc>
        <w:tc>
          <w:tcPr>
            <w:tcW w:w="0" w:type="dxa"/>
            <w:vAlign w:val="bottom"/>
          </w:tcPr>
          <w:p>
            <w:pPr>
              <w:spacing w:after="0"/>
              <w:rPr>
                <w:sz w:val="1"/>
                <w:szCs w:val="1"/>
                <w:color w:val="auto"/>
              </w:rPr>
            </w:pPr>
          </w:p>
        </w:tc>
      </w:tr>
      <w:tr>
        <w:trPr>
          <w:trHeight w:val="425"/>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Common</w:t>
            </w: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Retained</w:t>
            </w: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Retained</w:t>
            </w: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1"/>
              </w:rPr>
              <w:t>$ 75,490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(12,470)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30,501</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$ 93,683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$ 72,822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$ 67,308</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plans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 of 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(2,178)</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(923)</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71,962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(12,452)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38,872</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98,539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73,024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(12,532)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77,977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Subsequent to April 30, 2022 and through June 7, 2022, we have utilized $1.6 million in cash to repurchase 98,999 shares under our $25.0 million program that was authorized by our Board of Directors on November 30, 2021, leaving $10.9 million available under authorization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May 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15,475,731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15,062,025</w:t>
            </w:r>
          </w:p>
        </w:tc>
        <w:tc>
          <w:tcPr>
            <w:tcW w:w="0" w:type="dxa"/>
            <w:vAlign w:val="bottom"/>
          </w:tcPr>
          <w:p>
            <w:pPr>
              <w:spacing w:after="0"/>
              <w:rPr>
                <w:sz w:val="1"/>
                <w:szCs w:val="1"/>
                <w:color w:val="auto"/>
              </w:rPr>
            </w:pP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695,008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15,964,433</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15,757,033</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 income per common share attributable to Build-A-Bear Workshop,</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Inc. stockholders</w:t>
            </w:r>
          </w:p>
        </w:tc>
        <w:tc>
          <w:tcPr>
            <w:tcW w:w="2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Diluted income per common share attributable to Build-A-Bear Workshop,</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94"/>
        </w:trPr>
        <w:tc>
          <w:tcPr>
            <w:tcW w:w="5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Inc. stockholders</w:t>
            </w:r>
          </w:p>
        </w:tc>
        <w:tc>
          <w:tcPr>
            <w:tcW w:w="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weeks ended April 30, 2022, options to purchase 63,529 shares of common stock, respectively, that were outstanding at the end of the period were not included in the computation of diluted income per share due to their anti-dilutive effect. For the thirteen weeks ended May 1, 2021, options to purchase 559,991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 (Loss)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at April 30, 2022 and May 1, 2021 was comprised entirely of foreign currency translation. For the thirteen weeks ended April 30, 2022 and May 1, 2021, the Company had no reclassifications out of accumulated other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ind w:right="20"/>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coutnries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April 30, 2022</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112,890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117,662</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18,190</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May 1, 2021</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89,212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91,693</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30,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249,587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256,425</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29, 2022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260,526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266,324</w:t>
            </w: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256,294</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264,383</w:t>
            </w:r>
          </w:p>
        </w:tc>
      </w:tr>
    </w:tbl>
    <w:p>
      <w:pPr>
        <w:spacing w:after="0" w:line="1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April 30, 2022</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13,995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117,662</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46,691</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May 1, 2021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91,693</w:t>
            </w: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50,417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Appeals during fiscal 2022 first quarter, with no known timetable for a ruling by the court. The Company maintains a provision against the related receivable, based on a current evaluation of collectability, using the latest facts available in the dispute. As of April 30, 2022, the Company had a gross receivable balance of $4.3 million and a reserve of $3.3 million, leaving a net receivable of $1.0 million. The Company believes that the outcome of this dispute will not have a material adverse impact on the results of operations, liquidity or financial position of the Company.</w:t>
      </w:r>
    </w:p>
    <w:p>
      <w:pPr>
        <w:spacing w:after="0" w:line="19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In August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putative class action lawsuit was filed against Build-A-Bear Workshop, Inc. The plaintiff amended the complaint during the Company’s first fiscal quarter in 2022. As amended, the complaint asserts claims under the Telephone Consumer Protection Act (the "TCPA") alleging that the Company continued to send marketing text messages to mobile phone numbers after those numbers had allegedly opted-out of receiving them. Statutory damages under the TCPA are assessed at up to $500 per text message, and up to $1,500 per text message if the violation was knowing or willful. No class has yet been certified in the matter and the litigation is in the early stages of discovery. Accordingly, as of April 30, 2022, the Company cannot determine a reasonable estimate of the amount of loss or range of loss, and therefore, no accrual has been made for this matter.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29, 2022, as filed with the SEC, and include the following:</w:t>
      </w:r>
    </w:p>
    <w:p>
      <w:pPr>
        <w:spacing w:after="0" w:line="180" w:lineRule="exact"/>
        <w:rPr>
          <w:sz w:val="20"/>
          <w:szCs w:val="20"/>
          <w:color w:val="auto"/>
        </w:rPr>
      </w:pP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 pandemic has had and is expected to continue to have an adverse effect on our business and results of operations.</w:t>
      </w:r>
    </w:p>
    <w:p>
      <w:pPr>
        <w:spacing w:after="0" w:line="27" w:lineRule="exact"/>
        <w:rPr>
          <w:rFonts w:ascii="Times New Roman" w:cs="Times New Roman" w:eastAsia="Times New Roman" w:hAnsi="Times New Roman"/>
          <w:sz w:val="18"/>
          <w:szCs w:val="18"/>
          <w:color w:val="auto"/>
        </w:rPr>
      </w:pPr>
    </w:p>
    <w:p>
      <w:pPr>
        <w:ind w:left="480" w:right="4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corporately-managed stores and third-party retail locations are located to attract guests. Continued or further declines in retail consumer traffic could adversely affect our financial performance and profitability;</w:t>
      </w:r>
    </w:p>
    <w:p>
      <w:pPr>
        <w:ind w:left="480" w:right="2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or sustained decline in general global economic conditions, caused by the pandemic, inflation, or otherwise,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right="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risnig inflationary pressures may increase supply chain costs, especially freight and fuel costs, and may reduce disposable income for consumers and demand for our products, therefore negatively impacting our sales and profitability;</w:t>
      </w:r>
    </w:p>
    <w:p>
      <w:pPr>
        <w:ind w:left="480" w:right="8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5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strategy and the cost of our investments in e-commerce and digital technology may materially adversely affect our financial condition and profitability;</w:t>
      </w: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right="3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3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20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profitability</w:t>
      </w:r>
    </w:p>
    <w:p>
      <w:pPr>
        <w:spacing w:after="0" w:line="9" w:lineRule="exact"/>
        <w:rPr>
          <w:rFonts w:ascii="Times New Roman" w:cs="Times New Roman" w:eastAsia="Times New Roman" w:hAnsi="Times New Roman"/>
          <w:sz w:val="18"/>
          <w:szCs w:val="18"/>
          <w:color w:val="auto"/>
        </w:rPr>
      </w:pPr>
    </w:p>
    <w:p>
      <w:pPr>
        <w:ind w:left="480" w:right="38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merchandise, and significant price increases or disruption in their ability to deliver merchandise could harm our ability to source products and supply inventory in our stores;</w:t>
      </w:r>
    </w:p>
    <w:p>
      <w:pPr>
        <w:jc w:val="both"/>
        <w:ind w:left="480" w:right="260" w:hanging="175"/>
        <w:spacing w:after="0" w:line="255"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80" w:right="540" w:hanging="175"/>
        <w:spacing w:after="0" w:line="261"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franchises or if the laws relating to our international franchises change, our growth and profitability could be adversely affected and we could be exposed to additional liability;</w:t>
      </w:r>
    </w:p>
    <w:p>
      <w:pPr>
        <w:jc w:val="both"/>
        <w:ind w:left="48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the TCPA or the Telephone Consumer Protection Act,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ind w:left="480" w:right="4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80" w:right="1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80" w:right="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80" w:right="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80" w:right="3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subject to volatility, which could attract the interest of activist shareholders;</w:t>
      </w:r>
    </w:p>
    <w:p>
      <w:pPr>
        <w:spacing w:after="0" w:line="9" w:lineRule="exact"/>
        <w:rPr>
          <w:rFonts w:ascii="Times New Roman" w:cs="Times New Roman" w:eastAsia="Times New Roman" w:hAnsi="Times New Roman"/>
          <w:sz w:val="18"/>
          <w:szCs w:val="18"/>
          <w:color w:val="auto"/>
        </w:rPr>
      </w:pPr>
    </w:p>
    <w:p>
      <w:pPr>
        <w:ind w:left="480" w:right="40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80" w:right="1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80" w:right="100" w:hanging="175"/>
        <w:spacing w:after="0" w:line="26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where children and their families could create their own stuffed animals. Over the last nearly 25 years, Build-A-Bear has become a brand with high consumer awareness and positive affinity with over 200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consumer base beyond children by adding teens and adults with entertainment/sports licensing, collectible and gifting offerings. Build-A-Bear's pop-culture and multi-generational appeal have also played a key role in our digital transformation which includes a meaningful and growing e-commerce/omni-channel business, engaging consumer loyalty program and robust digital marketing and content capabilities with industry-leading partners. As of April 30, 2022, we had 345 corporately-managed stores globally and two seasonal locations, 62 locations operating through our "third-party retail" model in which we sell our products on a wholesale basis to other companies that then, in turn, execute our retail experience, and 64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500" w:hanging="16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36" w:lineRule="exact"/>
        <w:rPr>
          <w:rFonts w:ascii="Times New Roman" w:cs="Times New Roman" w:eastAsia="Times New Roman" w:hAnsi="Times New Roman"/>
          <w:sz w:val="18"/>
          <w:szCs w:val="18"/>
          <w:color w:val="auto"/>
        </w:rPr>
      </w:pPr>
    </w:p>
    <w:p>
      <w:pPr>
        <w:ind w:left="500" w:right="100" w:hanging="162"/>
        <w:spacing w:after="0" w:line="234"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500" w:right="140" w:hanging="162"/>
        <w:spacing w:after="0" w:line="225"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development fees and the sales from products and fixtures from other international operations under franchise agreements.</w:t>
      </w:r>
    </w:p>
    <w:p>
      <w:pPr>
        <w:spacing w:after="0" w:line="198" w:lineRule="exact"/>
        <w:rPr>
          <w:sz w:val="20"/>
          <w:szCs w:val="20"/>
          <w:color w:val="auto"/>
        </w:rPr>
      </w:pPr>
    </w:p>
    <w:p>
      <w:pPr>
        <w:ind w:left="20" w:right="20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weeks ended April 30, 2022 and May 1, 2021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COVID Update</w:t>
      </w:r>
    </w:p>
    <w:p>
      <w:pPr>
        <w:spacing w:after="0" w:line="229" w:lineRule="exact"/>
        <w:rPr>
          <w:sz w:val="20"/>
          <w:szCs w:val="20"/>
          <w:color w:val="auto"/>
        </w:rPr>
      </w:pPr>
    </w:p>
    <w:p>
      <w:pPr>
        <w:ind w:left="20" w:firstLine="648"/>
        <w:spacing w:after="0" w:line="252"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nearly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right="100" w:firstLine="648"/>
        <w:spacing w:after="0" w:line="250" w:lineRule="auto"/>
        <w:rPr>
          <w:sz w:val="20"/>
          <w:szCs w:val="20"/>
          <w:color w:val="auto"/>
        </w:rPr>
      </w:pPr>
      <w:r>
        <w:rPr>
          <w:rFonts w:ascii="Times New Roman" w:cs="Times New Roman" w:eastAsia="Times New Roman" w:hAnsi="Times New Roman"/>
          <w:sz w:val="18"/>
          <w:szCs w:val="18"/>
          <w:color w:val="auto"/>
        </w:rPr>
        <w:t>At the beginning of fiscal 2021, our U.S. store portfolio was open and operating while our stores in the U.K., Canada, and Ireland remained temporarily closed due to lockdowns imposed as a result of the pandemic. In April 2021, stores in the U.K. and Canada reopened as the government lifted lockdown restrictions resulting in almost all of the Company's stores operating as of the end of the fiscal 2021 first quarter with the remaining stores in the U.K. and Ireland opening in the fiscal 2021 second quarter and ending the fiscal 2021 second quarter with all stores open. For fiscal 2022 first quarter, essentially all stores in our corporately-managed portfolio remained open throughout the quarter, therefore significantly lessening the impact of</w:t>
      </w:r>
    </w:p>
    <w:p>
      <w:pPr>
        <w:spacing w:after="0" w:line="2" w:lineRule="exact"/>
        <w:rPr>
          <w:sz w:val="20"/>
          <w:szCs w:val="20"/>
          <w:color w:val="auto"/>
        </w:rPr>
      </w:pPr>
    </w:p>
    <w:p>
      <w:pPr>
        <w:ind w:left="20" w:right="140"/>
        <w:spacing w:after="0" w:line="260" w:lineRule="auto"/>
        <w:rPr>
          <w:sz w:val="20"/>
          <w:szCs w:val="20"/>
          <w:color w:val="auto"/>
        </w:rPr>
      </w:pPr>
      <w:r>
        <w:rPr>
          <w:rFonts w:ascii="Times New Roman" w:cs="Times New Roman" w:eastAsia="Times New Roman" w:hAnsi="Times New Roman"/>
          <w:sz w:val="18"/>
          <w:szCs w:val="18"/>
          <w:color w:val="auto"/>
        </w:rPr>
        <w:t>the pandemic on our financial statements for fiscal 2022 first quarter. Our year-over-year results discussed below are impacted by prior year store closures and operating hour reductions as a result of the pandemic.</w:t>
      </w:r>
    </w:p>
    <w:p>
      <w:pPr>
        <w:spacing w:after="0" w:line="181" w:lineRule="exact"/>
        <w:rPr>
          <w:sz w:val="20"/>
          <w:szCs w:val="20"/>
          <w:color w:val="auto"/>
        </w:rPr>
      </w:pPr>
    </w:p>
    <w:p>
      <w:pPr>
        <w:ind w:left="20" w:right="180" w:firstLine="648"/>
        <w:spacing w:after="0" w:line="258" w:lineRule="auto"/>
        <w:rPr>
          <w:sz w:val="20"/>
          <w:szCs w:val="20"/>
          <w:color w:val="auto"/>
        </w:rPr>
      </w:pPr>
      <w:r>
        <w:rPr>
          <w:rFonts w:ascii="Times New Roman" w:cs="Times New Roman" w:eastAsia="Times New Roman" w:hAnsi="Times New Roman"/>
          <w:sz w:val="18"/>
          <w:szCs w:val="18"/>
          <w:color w:val="auto"/>
        </w:rPr>
        <w:t>We believe we have built the infrastructure to respond with greater agility to deal with ongoing and future potential uncertainty and we expect to deliver continued growth in total revenues and profit in fiscal 2022 compared to fiscal 2021. While we believe that we have seen benefits from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which are centered primarily on three key areas:</w:t>
      </w:r>
    </w:p>
    <w:p>
      <w:pPr>
        <w:spacing w:after="0" w:line="183" w:lineRule="exact"/>
        <w:rPr>
          <w:sz w:val="20"/>
          <w:szCs w:val="20"/>
          <w:color w:val="auto"/>
        </w:rPr>
      </w:pPr>
    </w:p>
    <w:p>
      <w:pPr>
        <w:ind w:left="480" w:right="160" w:hanging="155"/>
        <w:spacing w:after="0" w:line="254"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acceleration of our digital transformation including content and entertainment initiatives.</w:t>
      </w:r>
      <w:r>
        <w:rPr>
          <w:rFonts w:ascii="Times New Roman" w:cs="Times New Roman" w:eastAsia="Times New Roman" w:hAnsi="Times New Roman"/>
          <w:sz w:val="18"/>
          <w:szCs w:val="18"/>
          <w:color w:val="auto"/>
        </w:rPr>
        <w:t>We have plans in place designed to increase repeat purchase rates and enhance engagement with over 14 million opted-in first party data contacts. We expect to more effectively use our expanded digital capabilities and platforms to inform and drive marketing and content campaigns and deliver personalized experiences and sales messaging. We also plan to expand our addressable market by reaching beyond the core kid base and continue to acquire new tween, teen, and adult consumers by offering unique affinity offerings and expanding purchase occasions. We are in the process of updating our website later this year with a reimagined online guest experience with a goal of driving additional digital demand. We expect to modernize the site, improve efficiency, and optimize organic traffic through leading SEO, or search engine optimization, practices, in order to improve interfaces across all areas of the site including gifting, affinity and the Bear Builder 3D Workshop as well as improve conversion at checkout. In addition, we plan to continue to utilize digital media, content and entertainment as marketing and brand-building tools to engage consumers and create value.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900" w:right="100" w:hanging="244"/>
        <w:spacing w:after="0" w:line="234" w:lineRule="auto"/>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Continuing to leverage our expanded omnichannel capabilities while further evolving retail experiences and purchase occasions.</w:t>
      </w:r>
      <w:r>
        <w:rPr>
          <w:rFonts w:ascii="Times New Roman" w:cs="Times New Roman" w:eastAsia="Times New Roman" w:hAnsi="Times New Roman"/>
          <w:sz w:val="18"/>
          <w:szCs w:val="18"/>
          <w:color w:val="auto"/>
        </w:rPr>
        <w:t xml:space="preserve"> With the vast majority of our U.S. stores profitable in fiscal 2022 first quarter, we believe there is an opportunity to add up to 20 locations within fiscal</w:t>
      </w:r>
    </w:p>
    <w:p>
      <w:pPr>
        <w:spacing w:after="0" w:line="1" w:lineRule="exact"/>
        <w:rPr>
          <w:rFonts w:ascii="Times New Roman" w:cs="Times New Roman" w:eastAsia="Times New Roman" w:hAnsi="Times New Roman"/>
          <w:sz w:val="22"/>
          <w:szCs w:val="22"/>
          <w:color w:val="auto"/>
        </w:rPr>
      </w:pPr>
    </w:p>
    <w:p>
      <w:pPr>
        <w:ind w:left="900" w:right="2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2022 through a combination of our corporately-managed and third-party retail models with an emphasis on non-traditional and tourist sites. We also plan to leverage our enhanced omnichannel options including Buy Online Ship From Store, Buy Online Pickup In Store and same day delivery through our relationship with Shipt to efficiently support fulfillment of our growing digital demand. This strategic use of hundreds of store locations as “mini distribution centers” significantly improves e-commerce fulfillment efficiency and throughput, decreases ship time (which is especially critical to minimize holiday cut-off days) and leverages available labor in our retail stores. We also continue to develop innovative experiences to expand our brand reach. This includes Build-A-Bear vending machines, also known as ATMs or automatic teddy machines. We expect to have approximately 10 machines by the end of this year with more than half of them in airports through our relationship with Hudson Group, a leader in travel retail throughout North America. In March of 2022, we re-introduced our in-store party offering after a nearly two-year hiatus due to the pandemic. In addition, 2022 marks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since Build-A-Bear Workshop was founded and we plan to capitalize on the occasion to create interest, leverage nostalgia and drive incremental purchases.</w:t>
      </w:r>
    </w:p>
    <w:p>
      <w:pPr>
        <w:spacing w:after="0" w:line="197" w:lineRule="exact"/>
        <w:rPr>
          <w:rFonts w:ascii="Times New Roman" w:cs="Times New Roman" w:eastAsia="Times New Roman" w:hAnsi="Times New Roman"/>
          <w:sz w:val="22"/>
          <w:szCs w:val="22"/>
          <w:color w:val="auto"/>
        </w:rPr>
      </w:pPr>
    </w:p>
    <w:p>
      <w:pPr>
        <w:ind w:left="900" w:right="40" w:hanging="244"/>
        <w:spacing w:after="0" w:line="245" w:lineRule="auto"/>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Optimizing our solid financial position including a strong balance sheet to support our business and make strategic investments designed to drive further growth.</w:t>
      </w:r>
      <w:r>
        <w:rPr>
          <w:rFonts w:ascii="Times New Roman" w:cs="Times New Roman" w:eastAsia="Times New Roman" w:hAnsi="Times New Roman"/>
          <w:sz w:val="18"/>
          <w:szCs w:val="18"/>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 the Share Repurchase Plan approved by the Board of Directors in November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Europe and Asia for the periods presented:</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1880" w:type="dxa"/>
            <w:vAlign w:val="bottom"/>
          </w:tcPr>
          <w:p>
            <w:pPr>
              <w:spacing w:after="0"/>
              <w:rPr>
                <w:sz w:val="16"/>
                <w:szCs w:val="16"/>
                <w:color w:val="auto"/>
              </w:rPr>
            </w:pPr>
          </w:p>
        </w:tc>
        <w:tc>
          <w:tcPr>
            <w:tcW w:w="86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41</w:t>
            </w: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1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39</w:t>
            </w:r>
          </w:p>
        </w:tc>
        <w:tc>
          <w:tcPr>
            <w:tcW w:w="5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April 30, 2022, 42%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April 30, 2022, we had six master franchise agreements, which typically grant franchise rights for a particular country or group of countries, covering an aggregate of 10 countries.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80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5580" w:type="dxa"/>
            <w:vAlign w:val="bottom"/>
          </w:tcPr>
          <w:p>
            <w:pPr>
              <w:spacing w:after="0"/>
              <w:rPr>
                <w:sz w:val="16"/>
                <w:szCs w:val="16"/>
                <w:color w:val="auto"/>
              </w:rPr>
            </w:pPr>
          </w:p>
        </w:tc>
        <w:tc>
          <w:tcPr>
            <w:tcW w:w="1100" w:type="dxa"/>
            <w:vAlign w:val="bottom"/>
          </w:tcPr>
          <w:p>
            <w:pPr>
              <w:jc w:val="center"/>
              <w:ind w:lef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left="3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58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w:t>
            </w:r>
          </w:p>
        </w:tc>
        <w:tc>
          <w:tcPr>
            <w:tcW w:w="10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100.0</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55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6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55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5"/>
                <w:szCs w:val="25"/>
                <w:color w:val="auto"/>
                <w:vertAlign w:val="superscript"/>
              </w:rPr>
              <w:t>(1)</w:t>
            </w:r>
          </w:p>
        </w:tc>
        <w:tc>
          <w:tcPr>
            <w:tcW w:w="1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r>
      <w:tr>
        <w:trPr>
          <w:trHeight w:val="20"/>
        </w:trPr>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55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0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r>
      <w:tr>
        <w:trPr>
          <w:trHeight w:val="197"/>
        </w:trPr>
        <w:tc>
          <w:tcPr>
            <w:tcW w:w="55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66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bl>
    <w:p>
      <w:pPr>
        <w:spacing w:after="0" w:line="198" w:lineRule="exact"/>
        <w:rPr>
          <w:sz w:val="20"/>
          <w:szCs w:val="20"/>
          <w:color w:val="auto"/>
        </w:rPr>
      </w:pPr>
    </w:p>
    <w:p>
      <w:pPr>
        <w:ind w:left="400" w:right="40" w:hanging="372"/>
        <w:spacing w:after="0" w:line="261" w:lineRule="auto"/>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400" w:hanging="372"/>
        <w:spacing w:after="0" w:line="260" w:lineRule="auto"/>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April 30, 2022 compared to thirteen weeks ended May 1, 2021</w:t>
      </w:r>
    </w:p>
    <w:p>
      <w:pPr>
        <w:spacing w:after="0" w:line="22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28.3%, driven by a 20.3% increase in North America and a 158.7% increase in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one-third of the increase in total revenues was related to our European locations that were open for the full quarter this year versus being closed for the majority of the fiscal 2021 first quarter.</w:t>
      </w:r>
    </w:p>
    <w:p>
      <w:pPr>
        <w:spacing w:after="0" w:line="17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April 30, 2022 were $112.9 million, compared to $89.2 million for the thirteen weeks ended May 1, 2021, an increase of $23.7 million, or 26.5%, compared to the prior year period. The components of this increase are as follows (dollars in millions):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estimates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demand for our product and interactive experience, strategic price increases, and lower promotional activity. Additionally, approximately one-third of the increase in net retail sales was driven by our European locations that were open for the full quarter this year versus being closed for the majority of fiscal 2021 first quarter.</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$4.3 million for the thirteen weeks ended April 30, 2022 compared to $2.1 million for the thirteen weeks ended May 1, 2021. The $2.2 million increase is primarily the result of increased sales volume from our commercial accounts through our third-party retail model.</w:t>
      </w:r>
    </w:p>
    <w:p>
      <w:pPr>
        <w:spacing w:after="0" w:line="16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International franchising revenue was $0.5 million for the thirteen weeks ended April 30, 2022 compared to $0.4 million for the thirteen weeks ended May 1, 2021. The $0.1 million increase is primarily due to having fewer temporary store closures in 2022 compared to the same period in 2021.</w:t>
      </w:r>
    </w:p>
    <w:p>
      <w:pPr>
        <w:spacing w:after="0" w:line="13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$12.2 million to $59.3 million compared to the thirteen weeks ended May 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gross margin rate decreased 30 basis points compared to the prior year primarily driven by an increase in inflationary pressures mostly shown in significant freight increases, while being offset by increased leverage of fixed occupancy and distribution costs driven by higher sales.</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$43.6 million, or 37.1% of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thirteen weeks ended April 30, 2022, compared to $35.2 million, or 38.4% of consolidated revenue, for the thirteen weeks ended May 1, 2021. The increase in overall expense was driven by higher store labor costs given the lifting of capacity restrictions and expanded operating hours in 2022 compared to 2021. In addition, SG&amp;A in the fiscal 2021 first quarter was favorably impacted by approximately $1.0 million in governement subsidies.</w:t>
      </w:r>
    </w:p>
    <w:p>
      <w:pPr>
        <w:spacing w:after="0" w:line="18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$18,000 for the thirteen weeks ended April 30, 2022 compared to interest expense of $5,000 for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May 1, 2021, resulting in an immaterial difference.</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$4.0 million with a tax rate of 22.0% for the thirteen weeks ended April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 million with a tax rate of 21.3% for the thirteen weeks ended May 1, 2021. In the first quarter of fiscal 2022, the effective tax rate differed from the statutory rate of 21% primarily due to state income tax expense partially offset by the tax impact of equity awards vesting. In addition, in the the first quarter of fiscal 2022, the Company remains in a full valuation allowance in certain foreign jurisdictions. In the first quarter of fiscal 2021, the effective tax rate differed from the statutory rate of 21% primarily due to state income tax expense mostly offset by the tax impact of equity awards vesting. In addition, in the first quarter of fiscal 2021, while the Company was still in a full valuation allowance globally, it recorded tax expense on the pretax income earned based on its projected current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right="60" w:firstLine="8"/>
        <w:spacing w:after="0" w:line="25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As of April 30, 2022, we had a consolidated cash balance of $26.1 million, approximately 61%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5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May 1,</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12,059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5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11,086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$7.6 million for the thirteen weeks ended April 30,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1, 2021. This decrease in cash from operating activities was primarily driven by an increase in cash spent on inventory purchases, as we proactively and strategically accelerated the timing of our order placement to mitigate the continuing inflationary pressures that were noted in the fiscal first quarter, and an increase in cash spent on operating leases, offset by increased sales volume, resulting in higher net income.</w:t>
      </w:r>
    </w:p>
    <w:p>
      <w:pPr>
        <w:spacing w:after="0" w:line="18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$0.6 million for the thirteen weeks ended April 30,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1, 2021. Cash used in investing activities in fiscal 2022 first quarter increased as compared to fiscal 2021 first quarter, primarily driven by increases in capital expenditures.</w:t>
      </w:r>
    </w:p>
    <w:p>
      <w:pPr>
        <w:spacing w:after="0" w:line="17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increased $9.9 million for the thirteen weeks ended April 30,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1, 2021. This increase in cash used in financing activities was driven primarily by repurchases of our common stock for $8.1 million in fiscal 2022 first quarter and payments of $0.3 million related to a special dividend declared by the Board of Directors in the fiscal 2021 fourth quarter.</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Borrowings under the agreement bear interest at (a) a base rate determined under the agreement, or (b) the borrower's option, at a rate based on LIBOR, plus in either case a margin based on average undrawn availability as determined in accordance with the agreement. As of April 30, 2022, our borrowing base was slightly more than $25.0 million. As a result of a $750,000 letter of credit against the line of credit at the end of the fiscal 2021 second quarter, approximately $24.3 million was available for borrowing. We had no outstanding borrowings as of the end of April 30, 2022.</w:t>
      </w:r>
    </w:p>
    <w:p>
      <w:pPr>
        <w:spacing w:after="0" w:line="184"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Most of our corporately-managed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upward to reflect the current market rates if they have increased. The leases typically provide the lessee with the first right for renewal at the end of the lease. Real estate taxes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thirteen weeks ended April 30, 2022 totaled $1.1 million and we expect to spend approximately $10 to $15 million on capital expenditures in fiscal 2022.</w:t>
      </w:r>
    </w:p>
    <w:p>
      <w:pPr>
        <w:spacing w:after="0" w:line="162" w:lineRule="exact"/>
        <w:rPr>
          <w:sz w:val="20"/>
          <w:szCs w:val="20"/>
          <w:color w:val="auto"/>
        </w:rPr>
      </w:pPr>
    </w:p>
    <w:p>
      <w:pPr>
        <w:jc w:val="both"/>
        <w:ind w:left="160" w:right="14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April 30, 2022, we had purchase obligations totaling approximately $91.3 million, of which $23.9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On November 30, 2021 we announced that our Board of Directors authorized a share repurchase program of up to $25 million. The primary source of funding for the share repurchase program is expected to be cash on hand. The timing and amount of share repurchases, if any, will depend on price, market conditions, applicable regulatory requirements, and other factors. The program authorizes us to repurchase shares through November 30, 2023, does not require us to repurchase any specific number of shares, and may be modified, suspended or terminated at any time without prior notice. Shares repurchased under the program will be subsequently retired. We believe that the multi-year, multi-million dollar share buy-back program is reflective of the strong confidence that the Board of Directors has in the future of the Company.</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we have utilized $8.1 million in cash to repurchase 495,848 shares in fiscal 2022 first quarter under our $25.0 million program that was authorized by our Board of Directors on November 30, 2021. From November 30, 2021 to May 25, 2022, we have utilized a total of $14.1 million under the program to repurchase 840,401 shares leaving $10.9 million available under authorization to purchase additional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 impact of inflation on the Company's business operations was seen throughout fiscal 2021 and began to have an adverse impact on our business in the first quarter of fiscal 2022, mainly in freight and other supply chain related costs. However, due to mitigating actions taken by the Company, such as strategic price increases on highly sought-after products and accelerated purchases of inventory, the impact of general price inflation on our</w:t>
      </w:r>
    </w:p>
    <w:p>
      <w:pPr>
        <w:spacing w:after="0" w:line="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fiscal 2022 first quarter financial position and results of operations was not significant. We expect the inflationary pressures experienced in the first quarter of fiscal 2022 to continue into the rest of fiscal 2022. We continue to monitor the impact of inflation on our business operations on an ongoing basis</w:t>
      </w:r>
    </w:p>
    <w:p>
      <w:pPr>
        <w:ind w:right="60"/>
        <w:spacing w:after="0" w:line="252" w:lineRule="auto"/>
        <w:rPr>
          <w:sz w:val="20"/>
          <w:szCs w:val="20"/>
          <w:color w:val="auto"/>
        </w:rPr>
      </w:pPr>
      <w:r>
        <w:rPr>
          <w:rFonts w:ascii="Times New Roman" w:cs="Times New Roman" w:eastAsia="Times New Roman" w:hAnsi="Times New Roman"/>
          <w:sz w:val="18"/>
          <w:szCs w:val="18"/>
          <w:color w:val="auto"/>
        </w:rPr>
        <w:t>and may need to adjust our prices further to mitigate the impacts of changes to the rate of inflation during 2022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crisis. We cannot provide an estimate or range of impact that such inflations may have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due to the need to maintain higher inventory reserves.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29, 2022 as filed with the SEC on April 14, 2022, which includes audited consolidated financial statements for our 2021 and 2020 fiscal years. There have been no material changes to the critical accounting estimates disclosed in the 2021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January 29, 2022 as filed with the SEC on April 14,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January 29, 2022 as filed with the SEC on April 14,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April 30, 2022,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January 29, 2022 as filed with the SEC on April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30, 2022 - February 26, 2022</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19,998,594</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27, 2022 - April 2,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238,128</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16,171,981</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3, 2022 - April 30,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219,737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12,504,107</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610,899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16.89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495,848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12,504,107</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80" w:hanging="349"/>
        <w:spacing w:after="0" w:line="261"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gridSpan w:val="13"/>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filed on November 11, 2004)</w:t>
              </w:r>
            </w:hyperlink>
          </w:p>
        </w:tc>
        <w:tc>
          <w:tcPr>
            <w:tcW w:w="26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7"/>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Description of Build-A-Bear Workshop, Inc. Cash Bonus Program for C-Level Employees (incorporated by reference from Exhibit 10.1 of</w:t>
              </w:r>
            </w:hyperlink>
          </w:p>
        </w:tc>
        <w:tc>
          <w:tcPr>
            <w:tcW w:w="2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our Current Report on Form 8-K, filed on April 14, 2022)</w:t>
              </w:r>
            </w:hyperlink>
          </w:p>
        </w:tc>
        <w:tc>
          <w:tcPr>
            <w:tcW w:w="606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Form of Restricted Stock Agreement under the Registrant's 2020 Omnibus Incentive Plan (incorporated by reference to Exhibit 10.3 to the</w:t>
              </w:r>
            </w:hyperlink>
          </w:p>
        </w:tc>
        <w:tc>
          <w:tcPr>
            <w:tcW w:w="2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Registrant's Current Report on Form 8-K, filed on April 16,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7"/>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9"/>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198" w:lineRule="exact"/>
        <w:rPr>
          <w:sz w:val="20"/>
          <w:szCs w:val="20"/>
          <w:color w:val="auto"/>
        </w:rPr>
      </w:pPr>
    </w:p>
    <w:p>
      <w:pPr>
        <w:ind w:left="140" w:right="3680" w:hanging="132"/>
        <w:spacing w:after="0" w:line="500" w:lineRule="auto"/>
        <w:tabs>
          <w:tab w:leader="none" w:pos="10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80" w:right="80" w:hanging="498"/>
        <w:spacing w:after="0" w:line="282" w:lineRule="auto"/>
        <w:tabs>
          <w:tab w:leader="none" w:pos="16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80" w:right="360" w:hanging="498"/>
        <w:spacing w:after="0" w:line="282" w:lineRule="auto"/>
        <w:tabs>
          <w:tab w:leader="none" w:pos="16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April 30, 2022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April 30, 2022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lvl w:ilvl="1">
      <w:lvlJc w:val="left"/>
      <w:lvlText w:val="(%2)"/>
      <w:numFmt w:val="decimal"/>
      <w:start w:val="1"/>
    </w:lvl>
  </w:abstractNum>
  <w:abstractNum w:abstractNumId="4">
    <w:nsid w:val="109CF92E"/>
    <w:multiLevelType w:val="hybridMultilevel"/>
    <w:lvl w:ilvl="0">
      <w:lvlJc w:val="left"/>
      <w:lvlText w:val="%1."/>
      <w:numFmt w:val="decimal"/>
      <w:start w:val="5"/>
    </w:lvl>
    <w:lvl w:ilvl="1">
      <w:lvlJc w:val="left"/>
      <w:lvlText w:val="%2"/>
      <w:numFmt w:val="decimal"/>
      <w:start w:val="1"/>
    </w:lvl>
  </w:abstractNum>
  <w:abstractNum w:abstractNumId="5">
    <w:nsid w:val="DED7263"/>
    <w:multiLevelType w:val="hybridMultilevel"/>
    <w:lvl w:ilvl="0">
      <w:lvlJc w:val="left"/>
      <w:lvlText w:val="%1"/>
      <w:numFmt w:val="decimal"/>
      <w:start w:val="1"/>
    </w:lvl>
    <w:lvl w:ilvl="1">
      <w:lvlJc w:val="left"/>
      <w:lvlText w:val="(%2)"/>
      <w:numFmt w:val="decimal"/>
      <w:start w:val="1"/>
    </w:lvl>
  </w:abstractNum>
  <w:abstractNum w:abstractNumId="6">
    <w:nsid w:val="7FDCC233"/>
    <w:multiLevelType w:val="hybridMultilevel"/>
    <w:lvl w:ilvl="0">
      <w:lvlJc w:val="left"/>
      <w:lvlText w:val="%1."/>
      <w:numFmt w:val="decimal"/>
      <w:start w:val="6"/>
    </w:lvl>
    <w:lvl w:ilvl="1">
      <w:lvlJc w:val="left"/>
      <w:lvlText w:val="%2"/>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38" Type="http://schemas.openxmlformats.org/officeDocument/2006/relationships/hyperlink" Target="http://www.sec.gov/Archives/edgar/data/1113809/000095013704006634/c86750exv2w1.txt" TargetMode="External"/><Relationship Id="rId39" Type="http://schemas.openxmlformats.org/officeDocument/2006/relationships/hyperlink" Target="http://www.sec.gov/Archives/edgar/data/1113809/000095013804000748/exh3-1.htm" TargetMode="External"/><Relationship Id="rId40" Type="http://schemas.openxmlformats.org/officeDocument/2006/relationships/hyperlink" Target="http://www.sec.gov/Archives/edgar/data/1113809/000115752316004713/a51286063ex3_1.htm" TargetMode="External"/><Relationship Id="rId41" Type="http://schemas.openxmlformats.org/officeDocument/2006/relationships/hyperlink" Target="http://www.sec.gov/Archives/edgar/data/1113809/000095013704008227/c86750a3exv4w1.txt" TargetMode="External"/><Relationship Id="rId42" Type="http://schemas.openxmlformats.org/officeDocument/2006/relationships/hyperlink" Target="http://www.sec.gov/Archives/edgar/data/1113809/000143774922009044/ex_359135.htm" TargetMode="External"/><Relationship Id="rId43" Type="http://schemas.openxmlformats.org/officeDocument/2006/relationships/hyperlink" Target="http://www.sec.gov/Archives/edgar/data/1113809/000143774921009143/ex_2415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2022-06-09T06:33:42Z</dcterms:created>
  <dcterms:modified xsi:type="dcterms:W3CDTF">2022-06-09T06:33:42Z</dcterms:modified>
</cp:coreProperties>
</file>